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header13.xml" ContentType="application/vnd.openxmlformats-officedocument.wordprocessingml.header+xml"/>
  <Override PartName="/word/footer10.xml" ContentType="application/vnd.openxmlformats-officedocument.wordprocessingml.footer+xml"/>
  <Override PartName="/word/footer2.xml" ContentType="application/vnd.openxmlformats-officedocument.wordprocessingml.footer+xml"/>
  <Override PartName="/word/header18.xml" ContentType="application/vnd.openxmlformats-officedocument.wordprocessingml.header+xml"/>
  <Override PartName="/word/header12.xml" ContentType="application/vnd.openxmlformats-officedocument.wordprocessingml.header+xml"/>
  <Override PartName="/word/settings.xml" ContentType="application/vnd.openxmlformats-officedocument.wordprocessingml.settings+xml"/>
  <Override PartName="/word/header9.xml" ContentType="application/vnd.openxmlformats-officedocument.wordprocessingml.header+xml"/>
  <Override PartName="/word/header11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15.xml" ContentType="application/vnd.openxmlformats-officedocument.wordprocessingml.footer+xml"/>
  <Override PartName="/word/numbering.xml" ContentType="application/vnd.openxmlformats-officedocument.wordprocessingml.numbering+xml"/>
  <Override PartName="/word/footer6.xml" ContentType="application/vnd.openxmlformats-officedocument.wordprocessingml.foot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header10.xml" ContentType="application/vnd.openxmlformats-officedocument.wordprocessingml.header+xml"/>
  <Override PartName="/word/header2.xml" ContentType="application/vnd.openxmlformats-officedocument.wordprocessingml.header+xml"/>
  <Override PartName="/word/footer19.xml" ContentType="application/vnd.openxmlformats-officedocument.wordprocessingml.footer+xml"/>
  <Override PartName="/word/footer9.xml" ContentType="application/vnd.openxmlformats-officedocument.wordprocessingml.footer+xml"/>
  <Override PartName="/word/footer17.xml" ContentType="application/vnd.openxmlformats-officedocument.wordprocessingml.footer+xml"/>
  <Override PartName="/word/header3.xml" ContentType="application/vnd.openxmlformats-officedocument.wordprocessingml.header+xml"/>
  <Override PartName="/word/footer13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16.xml" ContentType="application/vnd.openxmlformats-officedocument.wordprocessingml.header+xml"/>
  <Override PartName="/word/footer18.xml" ContentType="application/vnd.openxmlformats-officedocument.wordprocessingml.footer+xml"/>
  <Override PartName="/word/header1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media/image1.jpeg" ContentType="image/jpeg"/>
  <Override PartName="/word/theme/theme1.xml" ContentType="application/vnd.openxmlformats-officedocument.theme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footer12.xml" ContentType="application/vnd.openxmlformats-officedocument.wordprocessingml.footer+xml"/>
  <Override PartName="/word/_rels/document.xml.rels" ContentType="application/vnd.openxmlformats-package.relationships+xml"/>
  <Override PartName="/word/footer8.xml" ContentType="application/vnd.openxmlformats-officedocument.wordprocessingml.footer+xml"/>
  <Override PartName="/word/footer16.xml" ContentType="application/vnd.openxmlformats-officedocument.wordprocessingml.footer+xml"/>
  <Override PartName="/word/header5.xml" ContentType="application/vnd.openxmlformats-officedocument.wordprocessingml.header+xml"/>
  <Override PartName="/word/styles.xml" ContentType="application/vnd.openxmlformats-officedocument.wordprocessingml.styles+xml"/>
  <Override PartName="/word/header17.xml" ContentType="application/vnd.openxmlformats-officedocument.wordprocessingml.head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footer11.xml" ContentType="application/vnd.openxmlformats-officedocument.wordprocessingml.footer+xml"/>
  <Override PartName="/word/header19.xml" ContentType="application/vnd.openxmlformats-officedocument.wordprocessingml.header+xml"/>
  <Override PartName="/word/document.xml" ContentType="application/vnd.openxmlformats-officedocument.wordprocessingml.document.main+xml"/>
  <Override PartName="/word/header6.xml" ContentType="application/vnd.openxmlformats-officedocument.wordprocessingml.head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0182" w:type="dxa"/>
        <w:jc w:val="left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531"/>
        <w:gridCol w:w="623"/>
        <w:gridCol w:w="396"/>
        <w:gridCol w:w="1751"/>
        <w:gridCol w:w="535"/>
        <w:gridCol w:w="506"/>
        <w:gridCol w:w="580"/>
        <w:gridCol w:w="591"/>
        <w:gridCol w:w="1961"/>
        <w:gridCol w:w="1707"/>
      </w:tblGrid>
      <w:tr>
        <w:trPr>
          <w:trHeight w:val="1210" w:hRule="atLeast"/>
        </w:trPr>
        <w:tc>
          <w:tcPr>
            <w:tcW w:w="10181" w:type="dxa"/>
            <w:gridSpan w:val="10"/>
            <w:tcBorders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/>
              <w:drawing>
                <wp:inline distT="0" distB="0" distL="0" distR="0">
                  <wp:extent cx="463550" cy="715645"/>
                  <wp:effectExtent l="0" t="0" r="0" b="0"/>
                  <wp:docPr id="1" name="Рисунок 1" descr="Герб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Герб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715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1336" w:hRule="atLeast"/>
        </w:trPr>
        <w:tc>
          <w:tcPr>
            <w:tcW w:w="10181" w:type="dxa"/>
            <w:gridSpan w:val="10"/>
            <w:tcBorders/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color w:val="000000"/>
              </w:rPr>
            </w:pPr>
            <w:r>
              <w:rPr>
                <w:b/>
                <w:caps/>
                <w:color w:val="000000"/>
                <w:sz w:val="28"/>
                <w:szCs w:val="28"/>
              </w:rPr>
              <w:t>КЕМЕРОВСКАЯ ОБЛАСТЬ-КУЗБАСС</w:t>
            </w:r>
          </w:p>
          <w:p>
            <w:pPr>
              <w:pStyle w:val="Normal"/>
              <w:widowControl w:val="false"/>
              <w:spacing w:lineRule="auto" w:line="276"/>
              <w:jc w:val="center"/>
              <w:rPr>
                <w:color w:val="000000"/>
              </w:rPr>
            </w:pPr>
            <w:r>
              <w:rPr>
                <w:b/>
                <w:caps/>
                <w:color w:val="000000"/>
                <w:sz w:val="28"/>
                <w:szCs w:val="28"/>
              </w:rPr>
              <w:t>Анжеро-Судженский городской округ</w:t>
            </w:r>
          </w:p>
          <w:p>
            <w:pPr>
              <w:pStyle w:val="Normal"/>
              <w:widowControl w:val="false"/>
              <w:spacing w:lineRule="auto" w:line="276"/>
              <w:jc w:val="center"/>
              <w:rPr>
                <w:color w:val="000000"/>
              </w:rPr>
            </w:pPr>
            <w:bookmarkStart w:id="0" w:name="r06"/>
            <w:r>
              <w:rPr>
                <w:b/>
                <w:caps/>
                <w:color w:val="000000"/>
                <w:sz w:val="28"/>
                <w:szCs w:val="28"/>
              </w:rPr>
              <w:t>Администрация Анжеро-Судженского</w:t>
            </w:r>
            <w:bookmarkEnd w:id="0"/>
            <w:r>
              <w:rPr>
                <w:b/>
                <w:caps/>
                <w:color w:val="000000"/>
                <w:sz w:val="28"/>
                <w:szCs w:val="28"/>
              </w:rPr>
              <w:t xml:space="preserve"> городского округа</w:t>
            </w:r>
          </w:p>
          <w:p>
            <w:pPr>
              <w:pStyle w:val="Normal"/>
              <w:widowControl w:val="false"/>
              <w:spacing w:lineRule="auto" w:line="360"/>
              <w:jc w:val="center"/>
              <w:rPr>
                <w:b/>
                <w:caps/>
                <w:color w:val="000000"/>
                <w:sz w:val="26"/>
                <w:szCs w:val="26"/>
              </w:rPr>
            </w:pPr>
            <w:r>
              <w:rPr>
                <w:b/>
                <w:caps/>
                <w:color w:val="000000"/>
                <w:sz w:val="26"/>
                <w:szCs w:val="26"/>
              </w:rPr>
            </w:r>
          </w:p>
        </w:tc>
      </w:tr>
      <w:tr>
        <w:trPr>
          <w:trHeight w:val="493" w:hRule="exact"/>
        </w:trPr>
        <w:tc>
          <w:tcPr>
            <w:tcW w:w="10181" w:type="dxa"/>
            <w:gridSpan w:val="10"/>
            <w:tcBorders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8"/>
                <w:szCs w:val="28"/>
              </w:rPr>
              <w:t>ПОСТАНОВЛЕНИЕ</w:t>
            </w:r>
          </w:p>
        </w:tc>
      </w:tr>
      <w:tr>
        <w:trPr>
          <w:trHeight w:val="267" w:hRule="atLeast"/>
        </w:trPr>
        <w:tc>
          <w:tcPr>
            <w:tcW w:w="10181" w:type="dxa"/>
            <w:gridSpan w:val="10"/>
            <w:tcBorders/>
          </w:tcPr>
          <w:p>
            <w:pPr>
              <w:pStyle w:val="Normal"/>
              <w:widowControl w:val="false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</w:p>
        </w:tc>
      </w:tr>
      <w:tr>
        <w:trPr>
          <w:trHeight w:val="339" w:hRule="atLeast"/>
        </w:trPr>
        <w:tc>
          <w:tcPr>
            <w:tcW w:w="1531" w:type="dxa"/>
            <w:tcBorders/>
          </w:tcPr>
          <w:p>
            <w:pPr>
              <w:pStyle w:val="Normal"/>
              <w:widowControl w:val="false"/>
              <w:ind w:right="33" w:hanging="0"/>
              <w:jc w:val="right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от «</w:t>
            </w:r>
          </w:p>
        </w:tc>
        <w:tc>
          <w:tcPr>
            <w:tcW w:w="623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bookmarkStart w:id="1" w:name="r09d"/>
            <w:bookmarkStart w:id="2" w:name="r09d"/>
            <w:bookmarkEnd w:id="2"/>
          </w:p>
        </w:tc>
        <w:tc>
          <w:tcPr>
            <w:tcW w:w="396" w:type="dxa"/>
            <w:tcBorders/>
          </w:tcPr>
          <w:p>
            <w:pPr>
              <w:pStyle w:val="Normal"/>
              <w:widowControl w:val="false"/>
              <w:jc w:val="both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751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535" w:type="dxa"/>
            <w:tcBorders/>
          </w:tcPr>
          <w:p>
            <w:pPr>
              <w:pStyle w:val="Normal"/>
              <w:widowControl w:val="false"/>
              <w:ind w:right="-76" w:hanging="0"/>
              <w:jc w:val="right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506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ind w:right="-152" w:hanging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580" w:type="dxa"/>
            <w:tcBorders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г.</w:t>
            </w:r>
          </w:p>
        </w:tc>
        <w:tc>
          <w:tcPr>
            <w:tcW w:w="591" w:type="dxa"/>
            <w:tcBorders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961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ind w:firstLine="7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bookmarkStart w:id="3" w:name="r10"/>
            <w:bookmarkStart w:id="4" w:name="r10"/>
            <w:bookmarkEnd w:id="4"/>
          </w:p>
        </w:tc>
        <w:tc>
          <w:tcPr>
            <w:tcW w:w="1707" w:type="dxa"/>
            <w:tcBorders/>
          </w:tcPr>
          <w:p>
            <w:pPr>
              <w:pStyle w:val="Normal"/>
              <w:widowControl w:val="fals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</w:tc>
      </w:tr>
      <w:tr>
        <w:trPr>
          <w:trHeight w:val="371" w:hRule="atLeast"/>
        </w:trPr>
        <w:tc>
          <w:tcPr>
            <w:tcW w:w="10181" w:type="dxa"/>
            <w:gridSpan w:val="10"/>
            <w:tcBorders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</w:tc>
      </w:tr>
    </w:tbl>
    <w:p>
      <w:pPr>
        <w:pStyle w:val="Normal"/>
        <w:ind w:firstLine="709"/>
        <w:jc w:val="center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Normal"/>
        <w:ind w:firstLine="709"/>
        <w:jc w:val="center"/>
        <w:rPr>
          <w:color w:val="000000"/>
          <w:highlight w:val="none"/>
          <w:shd w:fill="auto" w:val="clear"/>
        </w:rPr>
      </w:pPr>
      <w:bookmarkStart w:id="5" w:name="__DdeLink__4836_1800157355"/>
      <w:r>
        <w:rPr>
          <w:b/>
          <w:color w:val="000000"/>
          <w:sz w:val="28"/>
          <w:shd w:fill="auto" w:val="clear"/>
        </w:rPr>
        <w:t>Об утверждении муниципальной программы «Управление муниципальными финансами Анжеро-Судженского городского округа»</w:t>
      </w:r>
      <w:bookmarkEnd w:id="5"/>
    </w:p>
    <w:p>
      <w:pPr>
        <w:pStyle w:val="Normal"/>
        <w:tabs>
          <w:tab w:val="clear" w:pos="708"/>
          <w:tab w:val="left" w:pos="3554" w:leader="none"/>
        </w:tabs>
        <w:ind w:firstLine="709"/>
        <w:rPr>
          <w:color w:val="000000"/>
          <w:highlight w:val="none"/>
          <w:shd w:fill="auto" w:val="clear"/>
        </w:rPr>
      </w:pPr>
      <w:r>
        <w:rPr>
          <w:b/>
          <w:color w:val="000000"/>
          <w:sz w:val="28"/>
          <w:shd w:fill="auto" w:val="clear"/>
        </w:rPr>
        <w:tab/>
      </w:r>
    </w:p>
    <w:p>
      <w:pPr>
        <w:pStyle w:val="ConsPlusNormal1"/>
        <w:ind w:left="0" w:right="0" w:firstLine="709"/>
        <w:jc w:val="both"/>
        <w:rPr/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 xml:space="preserve">В целях повышения качества управления муниципальными финансами Анжеро-Судженского городского округа,  руководствуясь постановлением администрации Анжеро-Судженского городского округа от 15.07.2025 № 721 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«</w:t>
      </w:r>
      <w:r>
        <w:rPr>
          <w:rFonts w:cs="PT Astra Serif"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О порядке разработки и реализации муниципальных программ Анжеро-Судженского городского округа Кемеровской области - Кузбасса и признании утратившими силу некоторых постановлений администрации Анжеро-Судженского городского округа»</w:t>
      </w:r>
      <w:r>
        <w:rPr>
          <w:rFonts w:ascii="Times New Roman" w:hAnsi="Times New Roman"/>
          <w:color w:val="000000"/>
          <w:sz w:val="28"/>
          <w:szCs w:val="28"/>
          <w:shd w:fill="auto" w:val="clear"/>
        </w:rPr>
        <w:t>:</w:t>
      </w:r>
    </w:p>
    <w:p>
      <w:pPr>
        <w:pStyle w:val="ConsPlusNormal1"/>
        <w:ind w:left="0" w:right="0" w:firstLine="709"/>
        <w:jc w:val="both"/>
        <w:rPr/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1. Утвердить прилагаемую муниципальную программу «Управление муниципальными финансами Анжеро-Судженского городского округа».</w:t>
      </w:r>
    </w:p>
    <w:p>
      <w:pPr>
        <w:pStyle w:val="ConsPlusNormal1"/>
        <w:ind w:left="0" w:right="0" w:firstLine="709"/>
        <w:jc w:val="both"/>
        <w:rPr/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2. Признать утратившими силу следующие постановления администрации Анжеро-Судженского городского округа:</w:t>
      </w:r>
    </w:p>
    <w:p>
      <w:pPr>
        <w:pStyle w:val="Normal"/>
        <w:ind w:left="0" w:right="0" w:firstLine="709"/>
        <w:jc w:val="both"/>
        <w:rPr/>
      </w:pPr>
      <w:r>
        <w:rPr>
          <w:color w:val="000000"/>
          <w:sz w:val="28"/>
          <w:szCs w:val="28"/>
          <w:shd w:fill="auto" w:val="clear"/>
        </w:rPr>
        <w:t>- от 23.07.2021 № 752 «Об утверждении муниципальной программы «Управление муниципальными финансами Анжеро-Судженского городского округа» на 2022-2027 годы»;</w:t>
      </w:r>
    </w:p>
    <w:p>
      <w:pPr>
        <w:pStyle w:val="Normal"/>
        <w:ind w:left="0" w:right="0" w:firstLine="709"/>
        <w:jc w:val="both"/>
        <w:rPr/>
      </w:pPr>
      <w:r>
        <w:rPr>
          <w:color w:val="000000"/>
          <w:shd w:fill="auto" w:val="clear"/>
        </w:rPr>
        <w:t xml:space="preserve">-  </w:t>
      </w:r>
      <w:r>
        <w:rPr>
          <w:color w:val="000000"/>
          <w:sz w:val="28"/>
          <w:szCs w:val="28"/>
          <w:shd w:fill="auto" w:val="clear"/>
        </w:rPr>
        <w:t>от 30.12.2021 № 1595 «О внесении изменений в постановление администрации Анжеро-Судженского городского округа от 23.07.2021 № 752 «Об утверждении муниципальной программы «Управление муниципальными финансами Анжеро-Судженского городского округа» на 2022-2024 годы»;</w:t>
      </w:r>
    </w:p>
    <w:p>
      <w:pPr>
        <w:pStyle w:val="Normal"/>
        <w:ind w:left="0" w:right="0" w:firstLine="709"/>
        <w:jc w:val="both"/>
        <w:rPr/>
      </w:pPr>
      <w:r>
        <w:rPr>
          <w:color w:val="000000"/>
          <w:sz w:val="28"/>
          <w:szCs w:val="28"/>
          <w:shd w:fill="auto" w:val="clear"/>
        </w:rPr>
        <w:t>- от 31.08.2022 № 1163 «О внесении изменений в постановление администрации Анжеро-Судженского городского округа от 23.07.2021 № 752 «Об утверждении муниципальной программы «Управление муниципальными финансами Анжеро-Судженского городского округа» на 2022-2024 годы»;</w:t>
      </w:r>
    </w:p>
    <w:p>
      <w:pPr>
        <w:pStyle w:val="Normal"/>
        <w:ind w:left="0" w:right="0" w:firstLine="709"/>
        <w:jc w:val="both"/>
        <w:rPr/>
      </w:pPr>
      <w:r>
        <w:rPr>
          <w:color w:val="000000"/>
          <w:sz w:val="28"/>
          <w:szCs w:val="28"/>
          <w:shd w:fill="auto" w:val="clear"/>
        </w:rPr>
        <w:t>- от 29.12.2022 № 1696 «О внесении изменений в постановление администрации Анжеро-Судженского городского округа от 23.07.2021 № 752 «Об утверждении муниципальной программы «Управление муниципальными финансами Анжеро-Судженского городского округа» на 2022-2025 годы»;</w:t>
      </w:r>
    </w:p>
    <w:p>
      <w:pPr>
        <w:pStyle w:val="Normal"/>
        <w:ind w:left="0" w:right="0" w:firstLine="709"/>
        <w:jc w:val="both"/>
        <w:rPr/>
      </w:pPr>
      <w:r>
        <w:rPr>
          <w:color w:val="000000"/>
          <w:sz w:val="28"/>
          <w:szCs w:val="28"/>
          <w:shd w:fill="auto" w:val="clear"/>
        </w:rPr>
        <w:t>- от 19.04.2023 № 349 «О внесении изменений в постановление администрации Анжеро-Судженского городского округа от 23.07.2021 № 752 «Об утверждении муниципальной программы «Управление муниципальными финансами Анжеро-Судженского городского округа» на 2022-2025 годы»;</w:t>
      </w:r>
    </w:p>
    <w:p>
      <w:pPr>
        <w:pStyle w:val="Normal"/>
        <w:ind w:left="0" w:right="0" w:firstLine="709"/>
        <w:jc w:val="both"/>
        <w:rPr/>
      </w:pPr>
      <w:r>
        <w:rPr>
          <w:color w:val="000000"/>
          <w:sz w:val="28"/>
          <w:szCs w:val="28"/>
          <w:shd w:fill="auto" w:val="clear"/>
        </w:rPr>
        <w:t>- от 07.08.2023 № 698  «О внесении изменений в постановление администрации Анжеро-Судженского городского округа от 23.07.2021 № 752 «Об утверждении муниципальной программы «Управление муниципальными финансами Анжеро-Судженского городского округа» на 2022-2025 годы»;</w:t>
      </w:r>
    </w:p>
    <w:p>
      <w:pPr>
        <w:pStyle w:val="Normal"/>
        <w:ind w:left="0" w:right="0" w:firstLine="709"/>
        <w:jc w:val="both"/>
        <w:rPr/>
      </w:pPr>
      <w:r>
        <w:rPr>
          <w:color w:val="000000"/>
          <w:sz w:val="28"/>
          <w:szCs w:val="28"/>
          <w:shd w:fill="auto" w:val="clear"/>
        </w:rPr>
        <w:t>- от 07.11.2023 № 983 «О внесении изменений в постановление администрации Анжеро-Судженского городского округа от 23.07.2021 № 752 «Об утверждении муниципальной программы «Управление муниципальными финансами Анжеро-Судженского городского округа» на 2022-2026 годы»;</w:t>
      </w:r>
    </w:p>
    <w:p>
      <w:pPr>
        <w:pStyle w:val="Normal"/>
        <w:ind w:left="0" w:right="0" w:firstLine="709"/>
        <w:jc w:val="both"/>
        <w:rPr/>
      </w:pPr>
      <w:r>
        <w:rPr>
          <w:color w:val="000000"/>
          <w:sz w:val="28"/>
          <w:szCs w:val="28"/>
          <w:shd w:fill="auto" w:val="clear"/>
        </w:rPr>
        <w:t xml:space="preserve">- от 12.01.2024 № 3 </w:t>
      </w:r>
      <w:bookmarkStart w:id="6" w:name="__DdeLink__12499_3766325032"/>
      <w:r>
        <w:rPr>
          <w:color w:val="000000"/>
          <w:sz w:val="28"/>
          <w:szCs w:val="28"/>
          <w:shd w:fill="auto" w:val="clear"/>
        </w:rPr>
        <w:t>«О внесении изменений в постановление администрации Анжеро-Судженского городского округа от 23.07.2021 № 752 «Об утверждении муниципальной программы «Управление муниципальными финансами Анжеро-Судженского городского округа» на 2022-2026 годы»</w:t>
      </w:r>
      <w:bookmarkEnd w:id="6"/>
      <w:r>
        <w:rPr>
          <w:color w:val="000000"/>
          <w:sz w:val="28"/>
          <w:szCs w:val="28"/>
          <w:shd w:fill="auto" w:val="clear"/>
        </w:rPr>
        <w:t>;</w:t>
      </w:r>
    </w:p>
    <w:p>
      <w:pPr>
        <w:pStyle w:val="Normal"/>
        <w:ind w:left="0" w:right="0" w:firstLine="709"/>
        <w:jc w:val="both"/>
        <w:rPr/>
      </w:pPr>
      <w:r>
        <w:rPr>
          <w:color w:val="000000"/>
          <w:sz w:val="28"/>
          <w:szCs w:val="28"/>
          <w:shd w:fill="auto" w:val="clear"/>
        </w:rPr>
        <w:t xml:space="preserve">-  от 13.08.2024 № 632 «О внесении изменений в постановление администрации Анжеро-Судженского городского округа от 23.07.2021 № 752 «Об утверждении муниципальной программы «Управление муниципальными финансами Анжеро-Судженского городского округа» на 2022-2026 годы»; </w:t>
      </w:r>
    </w:p>
    <w:p>
      <w:pPr>
        <w:pStyle w:val="Normal"/>
        <w:ind w:left="0" w:right="0" w:firstLine="709"/>
        <w:jc w:val="both"/>
        <w:rPr/>
      </w:pPr>
      <w:r>
        <w:rPr>
          <w:color w:val="000000"/>
          <w:sz w:val="28"/>
          <w:szCs w:val="28"/>
          <w:shd w:fill="auto" w:val="clear"/>
        </w:rPr>
        <w:t>-  от 29.10.2024 № 956 «О внесении изменений в постановление администрации Анжеро-Судженского городского округа от 23.07.2021 № 752 «Об утверждении муниципальной программы «Управление муниципальными финансами Анжеро-Судженского городского округа» на 2022-2027 годы»;</w:t>
      </w:r>
    </w:p>
    <w:p>
      <w:pPr>
        <w:pStyle w:val="Normal"/>
        <w:ind w:left="0" w:right="0" w:firstLine="709"/>
        <w:jc w:val="both"/>
        <w:rPr/>
      </w:pPr>
      <w:r>
        <w:rPr>
          <w:color w:val="000000"/>
          <w:sz w:val="28"/>
          <w:szCs w:val="28"/>
          <w:shd w:fill="auto" w:val="clear"/>
        </w:rPr>
        <w:t>-  от 28.12.2024 № 1210 «О внесении изменений в постановление администрации Анжеро-Судженского городского округа от 23.07.2021 № 752 «Об утверждении муниципальной программы «Управление муниципальными финансами Анжеро-Судженского городского округа» на 2022-2027 годы».</w:t>
      </w:r>
    </w:p>
    <w:p>
      <w:pPr>
        <w:pStyle w:val="Normal"/>
        <w:ind w:left="0" w:right="0" w:firstLine="709"/>
        <w:jc w:val="both"/>
        <w:rPr/>
      </w:pPr>
      <w:r>
        <w:rPr>
          <w:color w:val="000000"/>
          <w:sz w:val="28"/>
          <w:szCs w:val="28"/>
          <w:shd w:fill="auto" w:val="clear"/>
        </w:rPr>
        <w:t>3. Ответственному исполнителю муниципальной программы «Управление муниципальными финансами Анжеро-Судженского городского округа» разместить настоящее постановление в течение 10 рабочих дней со дня официального опубликования в информационно– телекоммуникационной сети «Интернет» на официальных сайтах:</w:t>
      </w:r>
    </w:p>
    <w:p>
      <w:pPr>
        <w:pStyle w:val="Normal"/>
        <w:tabs>
          <w:tab w:val="clear" w:pos="708"/>
          <w:tab w:val="left" w:pos="-6663" w:leader="none"/>
        </w:tabs>
        <w:ind w:left="0" w:right="0" w:firstLine="709"/>
        <w:jc w:val="both"/>
        <w:rPr/>
      </w:pPr>
      <w:r>
        <w:rPr>
          <w:color w:val="000000"/>
          <w:sz w:val="28"/>
          <w:szCs w:val="28"/>
          <w:shd w:fill="auto" w:val="clear"/>
        </w:rPr>
        <w:t xml:space="preserve">3.1. Министерства экономического развития Российской Федерации, внесение изменений в федеральный государственный реестр документов стратегического планирования посредством заполнения электронных форм уведомлений в государственной автоматизированной системе «Управление», электронный адрес: http://gasu.gov.ru </w:t>
      </w:r>
      <w:r>
        <w:rPr>
          <w:rStyle w:val="-"/>
          <w:color w:val="000000"/>
          <w:sz w:val="28"/>
          <w:szCs w:val="28"/>
          <w:u w:val="none"/>
          <w:shd w:fill="auto" w:val="clear"/>
        </w:rPr>
        <w:t>.</w:t>
      </w:r>
    </w:p>
    <w:p>
      <w:pPr>
        <w:pStyle w:val="Normal"/>
        <w:tabs>
          <w:tab w:val="clear" w:pos="708"/>
          <w:tab w:val="left" w:pos="-6663" w:leader="none"/>
        </w:tabs>
        <w:ind w:left="0" w:right="0" w:firstLine="709"/>
        <w:jc w:val="both"/>
        <w:rPr/>
      </w:pPr>
      <w:r>
        <w:rPr>
          <w:color w:val="000000"/>
          <w:sz w:val="28"/>
          <w:szCs w:val="28"/>
          <w:shd w:fill="auto" w:val="clear"/>
        </w:rPr>
        <w:t xml:space="preserve">3.2. Анжеро-Судженского городского округа, электронный адрес: </w:t>
      </w:r>
      <w:hyperlink r:id="rId3">
        <w:r>
          <w:rPr>
            <w:color w:val="000000"/>
            <w:sz w:val="28"/>
            <w:szCs w:val="28"/>
            <w:shd w:fill="auto" w:val="clear"/>
            <w:lang w:val="en-US"/>
          </w:rPr>
          <w:t>www</w:t>
        </w:r>
        <w:r>
          <w:rPr>
            <w:color w:val="000000"/>
            <w:sz w:val="28"/>
            <w:szCs w:val="28"/>
            <w:shd w:fill="auto" w:val="clear"/>
          </w:rPr>
          <w:t>.</w:t>
        </w:r>
        <w:r>
          <w:rPr>
            <w:color w:val="000000"/>
            <w:sz w:val="28"/>
            <w:szCs w:val="28"/>
            <w:shd w:fill="auto" w:val="clear"/>
            <w:lang w:val="en-US"/>
          </w:rPr>
          <w:t>anzhero</w:t>
        </w:r>
        <w:r>
          <w:rPr>
            <w:color w:val="000000"/>
            <w:sz w:val="28"/>
            <w:szCs w:val="28"/>
            <w:shd w:fill="auto" w:val="clear"/>
          </w:rPr>
          <w:t>.</w:t>
        </w:r>
        <w:r>
          <w:rPr>
            <w:color w:val="000000"/>
            <w:sz w:val="28"/>
            <w:szCs w:val="28"/>
            <w:shd w:fill="auto" w:val="clear"/>
            <w:lang w:val="en-US"/>
          </w:rPr>
          <w:t>ru</w:t>
        </w:r>
      </w:hyperlink>
      <w:r>
        <w:rPr>
          <w:color w:val="000000"/>
          <w:sz w:val="28"/>
          <w:szCs w:val="28"/>
          <w:shd w:fill="auto" w:val="clear"/>
        </w:rPr>
        <w:t>.</w:t>
      </w:r>
    </w:p>
    <w:p>
      <w:pPr>
        <w:pStyle w:val="Normal"/>
        <w:tabs>
          <w:tab w:val="clear" w:pos="708"/>
          <w:tab w:val="left" w:pos="-6663" w:leader="none"/>
        </w:tabs>
        <w:ind w:left="0" w:right="0" w:firstLine="709"/>
        <w:jc w:val="both"/>
        <w:rPr/>
      </w:pPr>
      <w:r>
        <w:rPr>
          <w:color w:val="000000"/>
          <w:sz w:val="28"/>
          <w:szCs w:val="28"/>
          <w:shd w:fill="auto" w:val="clear"/>
        </w:rPr>
        <w:t>4. Настоящее постановление подлежит опубликованию в массовой газете Анжеро-Судженского городского округа «Наш город».</w:t>
      </w:r>
    </w:p>
    <w:p>
      <w:pPr>
        <w:pStyle w:val="Normal"/>
        <w:ind w:left="0" w:right="0" w:firstLine="709"/>
        <w:jc w:val="both"/>
        <w:rPr/>
      </w:pPr>
      <w:r>
        <w:rPr>
          <w:color w:val="000000"/>
          <w:sz w:val="28"/>
          <w:szCs w:val="28"/>
          <w:shd w:fill="auto" w:val="clear"/>
        </w:rPr>
        <w:t>5. Контроль за исполнением настоящего постановления оставляю за собой.</w:t>
      </w:r>
    </w:p>
    <w:p>
      <w:pPr>
        <w:pStyle w:val="Normal"/>
        <w:ind w:left="0" w:right="0" w:firstLine="709"/>
        <w:jc w:val="both"/>
        <w:rPr/>
      </w:pPr>
      <w:r>
        <w:rPr>
          <w:color w:val="000000"/>
          <w:sz w:val="28"/>
          <w:szCs w:val="28"/>
          <w:shd w:fill="auto" w:val="clear"/>
        </w:rPr>
        <w:t>6. Постановление вступает в силу после его официального опубликования и распространяется на правоотношения, возникшие с 01.01.2026 года.</w:t>
      </w:r>
    </w:p>
    <w:p>
      <w:pPr>
        <w:pStyle w:val="Normal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  <w:highlight w:val="none"/>
          <w:shd w:fill="auto" w:val="clear"/>
        </w:rPr>
      </w:pPr>
      <w:r>
        <w:rPr>
          <w:color w:val="000000"/>
          <w:sz w:val="28"/>
          <w:szCs w:val="28"/>
          <w:shd w:fill="auto" w:val="clear"/>
        </w:rPr>
      </w:r>
    </w:p>
    <w:p>
      <w:pPr>
        <w:pStyle w:val="Normal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  <w:highlight w:val="none"/>
          <w:shd w:fill="auto" w:val="clear"/>
        </w:rPr>
      </w:pPr>
      <w:r>
        <w:rPr>
          <w:color w:val="000000"/>
          <w:sz w:val="28"/>
          <w:szCs w:val="28"/>
          <w:shd w:fill="auto" w:val="clear"/>
        </w:rPr>
      </w:r>
    </w:p>
    <w:p>
      <w:pPr>
        <w:pStyle w:val="Normal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  <w:highlight w:val="none"/>
          <w:shd w:fill="auto" w:val="clear"/>
        </w:rPr>
      </w:pPr>
      <w:r>
        <w:rPr>
          <w:color w:val="000000"/>
          <w:sz w:val="28"/>
          <w:szCs w:val="28"/>
          <w:shd w:fill="auto" w:val="clear"/>
        </w:rPr>
      </w:r>
    </w:p>
    <w:p>
      <w:pPr>
        <w:pStyle w:val="Normal"/>
        <w:ind w:left="0" w:right="0" w:hanging="0"/>
        <w:rPr/>
      </w:pPr>
      <w:r>
        <w:rPr>
          <w:color w:val="000000"/>
          <w:sz w:val="28"/>
          <w:szCs w:val="28"/>
          <w:shd w:fill="auto" w:val="clear"/>
        </w:rPr>
        <w:t>Глава городского округа</w:t>
        <w:tab/>
        <w:tab/>
        <w:tab/>
        <w:tab/>
        <w:tab/>
        <w:t xml:space="preserve">           Д.В. Ажичаков</w:t>
      </w:r>
    </w:p>
    <w:p>
      <w:pPr>
        <w:pStyle w:val="14"/>
        <w:shd w:val="clear" w:color="auto" w:fill="auto"/>
        <w:spacing w:lineRule="auto" w:line="240" w:before="0" w:after="0"/>
        <w:ind w:left="0" w:right="0" w:firstLine="709"/>
        <w:jc w:val="right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14"/>
        <w:shd w:val="clear" w:color="auto" w:fill="auto"/>
        <w:spacing w:lineRule="auto" w:line="240" w:before="0" w:after="0"/>
        <w:ind w:left="0" w:right="0" w:firstLine="709"/>
        <w:jc w:val="right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14"/>
        <w:shd w:val="clear" w:color="auto" w:fill="auto"/>
        <w:spacing w:lineRule="auto" w:line="240" w:before="0" w:after="0"/>
        <w:ind w:left="4536" w:hanging="0"/>
        <w:jc w:val="right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14"/>
        <w:shd w:val="clear" w:color="auto" w:fill="auto"/>
        <w:spacing w:lineRule="auto" w:line="240" w:before="0" w:after="0"/>
        <w:ind w:left="4536" w:hanging="0"/>
        <w:jc w:val="right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14"/>
        <w:shd w:val="clear" w:color="auto" w:fill="auto"/>
        <w:spacing w:lineRule="auto" w:line="240" w:before="0" w:after="0"/>
        <w:ind w:left="4536" w:hanging="0"/>
        <w:jc w:val="right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14"/>
        <w:shd w:val="clear" w:color="auto" w:fill="auto"/>
        <w:spacing w:lineRule="auto" w:line="240" w:before="0" w:after="0"/>
        <w:ind w:left="4536" w:hanging="0"/>
        <w:jc w:val="right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14"/>
        <w:shd w:val="clear" w:color="auto" w:fill="auto"/>
        <w:spacing w:lineRule="auto" w:line="240" w:before="0" w:after="0"/>
        <w:ind w:left="4536" w:hanging="0"/>
        <w:jc w:val="right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14"/>
        <w:shd w:val="clear" w:color="auto" w:fill="auto"/>
        <w:spacing w:lineRule="auto" w:line="240" w:before="0" w:after="0"/>
        <w:ind w:left="4536" w:hanging="0"/>
        <w:jc w:val="right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14"/>
        <w:shd w:val="clear" w:color="auto" w:fill="auto"/>
        <w:spacing w:lineRule="auto" w:line="240" w:before="0" w:after="0"/>
        <w:ind w:left="4536" w:hanging="0"/>
        <w:jc w:val="right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14"/>
        <w:shd w:val="clear" w:color="auto" w:fill="auto"/>
        <w:spacing w:lineRule="auto" w:line="240" w:before="0" w:after="0"/>
        <w:ind w:left="4536" w:hanging="0"/>
        <w:jc w:val="right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14"/>
        <w:shd w:val="clear" w:color="auto" w:fill="auto"/>
        <w:spacing w:lineRule="auto" w:line="240" w:before="0" w:after="0"/>
        <w:ind w:left="4536" w:hanging="0"/>
        <w:jc w:val="right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14"/>
        <w:shd w:val="clear" w:color="auto" w:fill="auto"/>
        <w:spacing w:lineRule="auto" w:line="240" w:before="0" w:after="0"/>
        <w:ind w:left="4536" w:hanging="0"/>
        <w:jc w:val="right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14"/>
        <w:shd w:val="clear" w:color="auto" w:fill="auto"/>
        <w:spacing w:lineRule="auto" w:line="240" w:before="0" w:after="0"/>
        <w:ind w:left="4536" w:hanging="0"/>
        <w:jc w:val="right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14"/>
        <w:shd w:val="clear" w:color="auto" w:fill="auto"/>
        <w:spacing w:lineRule="auto" w:line="240" w:before="0" w:after="0"/>
        <w:ind w:left="4536" w:hanging="0"/>
        <w:jc w:val="right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14"/>
        <w:shd w:val="clear" w:color="auto" w:fill="auto"/>
        <w:spacing w:lineRule="auto" w:line="240" w:before="0" w:after="0"/>
        <w:ind w:left="4536" w:hanging="0"/>
        <w:jc w:val="right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14"/>
        <w:shd w:val="clear" w:color="auto" w:fill="auto"/>
        <w:spacing w:lineRule="auto" w:line="240" w:before="0" w:after="0"/>
        <w:ind w:left="4536" w:hanging="0"/>
        <w:jc w:val="right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14"/>
        <w:shd w:val="clear" w:color="auto" w:fill="auto"/>
        <w:spacing w:lineRule="auto" w:line="240" w:before="0" w:after="0"/>
        <w:ind w:left="4536" w:hanging="0"/>
        <w:jc w:val="right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14"/>
        <w:shd w:val="clear" w:color="auto" w:fill="auto"/>
        <w:spacing w:lineRule="auto" w:line="240" w:before="0" w:after="0"/>
        <w:ind w:left="4536" w:hanging="0"/>
        <w:jc w:val="right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14"/>
        <w:shd w:val="clear" w:color="auto" w:fill="auto"/>
        <w:spacing w:lineRule="auto" w:line="240" w:before="0" w:after="0"/>
        <w:ind w:left="4536" w:hanging="0"/>
        <w:jc w:val="right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14"/>
        <w:shd w:val="clear" w:color="auto" w:fill="auto"/>
        <w:spacing w:lineRule="auto" w:line="240" w:before="0" w:after="0"/>
        <w:ind w:left="4536" w:hanging="0"/>
        <w:jc w:val="right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14"/>
        <w:shd w:val="clear" w:color="auto" w:fill="auto"/>
        <w:spacing w:lineRule="auto" w:line="240" w:before="0" w:after="0"/>
        <w:ind w:left="4536" w:hanging="0"/>
        <w:jc w:val="right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14"/>
        <w:shd w:val="clear" w:color="auto" w:fill="auto"/>
        <w:spacing w:lineRule="auto" w:line="240" w:before="0" w:after="0"/>
        <w:ind w:left="4536" w:hanging="0"/>
        <w:jc w:val="right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14"/>
        <w:shd w:val="clear" w:color="auto" w:fill="auto"/>
        <w:spacing w:lineRule="auto" w:line="240" w:before="0" w:after="0"/>
        <w:ind w:left="4536" w:hanging="0"/>
        <w:jc w:val="right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14"/>
        <w:shd w:val="clear" w:color="auto" w:fill="auto"/>
        <w:spacing w:lineRule="auto" w:line="240" w:before="0" w:after="0"/>
        <w:ind w:left="4536" w:hanging="0"/>
        <w:jc w:val="right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14"/>
        <w:shd w:val="clear" w:color="auto" w:fill="auto"/>
        <w:spacing w:lineRule="auto" w:line="240" w:before="0" w:after="0"/>
        <w:ind w:left="4536" w:hanging="0"/>
        <w:jc w:val="right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14"/>
        <w:shd w:val="clear" w:color="auto" w:fill="auto"/>
        <w:spacing w:lineRule="auto" w:line="240" w:before="0" w:after="0"/>
        <w:ind w:left="4536" w:hanging="0"/>
        <w:jc w:val="right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14"/>
        <w:shd w:val="clear" w:color="auto" w:fill="auto"/>
        <w:spacing w:lineRule="auto" w:line="240" w:before="0" w:after="0"/>
        <w:ind w:left="4536" w:hanging="0"/>
        <w:jc w:val="right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14"/>
        <w:shd w:val="clear" w:color="auto" w:fill="auto"/>
        <w:spacing w:lineRule="auto" w:line="240" w:before="0" w:after="0"/>
        <w:ind w:left="4536" w:hanging="0"/>
        <w:jc w:val="right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14"/>
        <w:shd w:val="clear" w:color="auto" w:fill="auto"/>
        <w:spacing w:lineRule="auto" w:line="240" w:before="0" w:after="0"/>
        <w:ind w:left="4536" w:hanging="0"/>
        <w:jc w:val="right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14"/>
        <w:shd w:val="clear" w:color="auto" w:fill="auto"/>
        <w:spacing w:lineRule="auto" w:line="240" w:before="0" w:after="0"/>
        <w:ind w:left="4536" w:hanging="0"/>
        <w:jc w:val="right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14"/>
        <w:shd w:val="clear" w:color="auto" w:fill="auto"/>
        <w:spacing w:lineRule="auto" w:line="240" w:before="0" w:after="0"/>
        <w:ind w:left="4536" w:hanging="0"/>
        <w:jc w:val="right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14"/>
        <w:shd w:val="clear" w:color="auto" w:fill="auto"/>
        <w:spacing w:lineRule="auto" w:line="240" w:before="0" w:after="0"/>
        <w:ind w:left="4536" w:hanging="0"/>
        <w:jc w:val="right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14"/>
        <w:shd w:val="clear" w:color="auto" w:fill="auto"/>
        <w:spacing w:lineRule="auto" w:line="240" w:before="0" w:after="0"/>
        <w:ind w:left="4536" w:hanging="0"/>
        <w:jc w:val="right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  <w:t>Утверждена</w:t>
      </w:r>
    </w:p>
    <w:p>
      <w:pPr>
        <w:pStyle w:val="14"/>
        <w:shd w:val="clear" w:color="auto" w:fill="auto"/>
        <w:spacing w:lineRule="auto" w:line="240" w:before="0" w:after="0"/>
        <w:ind w:left="4253" w:hanging="0"/>
        <w:jc w:val="right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  <w:t xml:space="preserve">постановлением администрации </w:t>
      </w:r>
    </w:p>
    <w:p>
      <w:pPr>
        <w:pStyle w:val="14"/>
        <w:shd w:val="clear" w:color="auto" w:fill="auto"/>
        <w:spacing w:lineRule="auto" w:line="240" w:before="0" w:after="0"/>
        <w:ind w:left="4253" w:hanging="0"/>
        <w:jc w:val="right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  <w:t xml:space="preserve"> </w:t>
      </w:r>
      <w:r>
        <w:rPr>
          <w:color w:val="000000"/>
          <w:shd w:fill="auto" w:val="clear"/>
        </w:rPr>
        <w:t xml:space="preserve">Анжеро-Судженского городского округа </w:t>
      </w:r>
    </w:p>
    <w:p>
      <w:pPr>
        <w:pStyle w:val="14"/>
        <w:shd w:val="clear" w:color="auto" w:fill="auto"/>
        <w:spacing w:lineRule="auto" w:line="240" w:before="0" w:after="0"/>
        <w:ind w:left="4536" w:hanging="0"/>
        <w:jc w:val="right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  <w:t xml:space="preserve">      </w:t>
      </w:r>
      <w:r>
        <w:rPr>
          <w:color w:val="000000"/>
          <w:shd w:fill="auto" w:val="clear"/>
        </w:rPr>
        <w:t xml:space="preserve">от _________________   № ________    </w:t>
      </w:r>
    </w:p>
    <w:p>
      <w:pPr>
        <w:pStyle w:val="14"/>
        <w:shd w:val="clear" w:color="auto" w:fill="auto"/>
        <w:spacing w:lineRule="auto" w:line="240" w:before="0" w:after="0"/>
        <w:ind w:left="4536" w:hanging="0"/>
        <w:jc w:val="right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14"/>
        <w:shd w:val="clear" w:color="auto" w:fill="auto"/>
        <w:spacing w:lineRule="auto" w:line="240" w:before="0" w:after="0"/>
        <w:ind w:left="4536" w:hanging="0"/>
        <w:jc w:val="right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14"/>
        <w:shd w:val="clear" w:color="auto" w:fill="auto"/>
        <w:spacing w:lineRule="auto" w:line="240" w:before="0" w:after="0"/>
        <w:ind w:left="4536" w:hanging="0"/>
        <w:jc w:val="right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  <w:t xml:space="preserve"> </w:t>
      </w:r>
    </w:p>
    <w:p>
      <w:pPr>
        <w:pStyle w:val="14"/>
        <w:shd w:val="clear" w:color="auto" w:fill="auto"/>
        <w:spacing w:lineRule="auto" w:line="240" w:before="0" w:after="0"/>
        <w:ind w:left="4536" w:hanging="0"/>
        <w:jc w:val="right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14"/>
        <w:shd w:val="clear" w:color="auto" w:fill="auto"/>
        <w:spacing w:lineRule="auto" w:line="240" w:before="0" w:after="0"/>
        <w:ind w:left="4536" w:hanging="0"/>
        <w:jc w:val="right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14"/>
        <w:shd w:val="clear" w:color="auto" w:fill="auto"/>
        <w:spacing w:lineRule="auto" w:line="240" w:before="0" w:after="0"/>
        <w:ind w:left="4536" w:hanging="0"/>
        <w:jc w:val="right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14"/>
        <w:shd w:val="clear" w:color="auto" w:fill="auto"/>
        <w:spacing w:lineRule="auto" w:line="240" w:before="0" w:after="0"/>
        <w:ind w:left="4536" w:hanging="0"/>
        <w:jc w:val="right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Normal"/>
        <w:jc w:val="center"/>
        <w:rPr>
          <w:color w:val="000000"/>
          <w:highlight w:val="none"/>
          <w:shd w:fill="auto" w:val="clear"/>
        </w:rPr>
      </w:pPr>
      <w:r>
        <w:rPr>
          <w:b/>
          <w:color w:val="000000"/>
          <w:sz w:val="28"/>
          <w:shd w:fill="auto" w:val="clear"/>
        </w:rPr>
        <w:t>МУНИЦИПАЛЬНАЯ ПРОГРАММА</w:t>
      </w:r>
    </w:p>
    <w:p>
      <w:pPr>
        <w:pStyle w:val="Normal"/>
        <w:jc w:val="center"/>
        <w:rPr>
          <w:b/>
          <w:color w:val="000000"/>
          <w:sz w:val="28"/>
          <w:highlight w:val="none"/>
          <w:shd w:fill="auto" w:val="clear"/>
        </w:rPr>
      </w:pPr>
      <w:r>
        <w:rPr>
          <w:b/>
          <w:color w:val="000000"/>
          <w:sz w:val="28"/>
          <w:shd w:fill="auto" w:val="clear"/>
        </w:rPr>
      </w:r>
    </w:p>
    <w:p>
      <w:pPr>
        <w:pStyle w:val="Normal"/>
        <w:jc w:val="center"/>
        <w:rPr>
          <w:color w:val="000000"/>
          <w:highlight w:val="none"/>
          <w:shd w:fill="auto" w:val="clear"/>
        </w:rPr>
      </w:pPr>
      <w:r>
        <w:rPr>
          <w:b/>
          <w:color w:val="000000"/>
          <w:sz w:val="28"/>
          <w:shd w:fill="auto" w:val="clear"/>
        </w:rPr>
        <w:t xml:space="preserve"> </w:t>
      </w:r>
      <w:r>
        <w:rPr>
          <w:b/>
          <w:color w:val="000000"/>
          <w:sz w:val="28"/>
          <w:shd w:fill="auto" w:val="clear"/>
        </w:rPr>
        <w:t>«Управление муниципальными финансами Анжеро-Судженского городского округа»</w:t>
      </w:r>
    </w:p>
    <w:p>
      <w:pPr>
        <w:pStyle w:val="Normal"/>
        <w:jc w:val="center"/>
        <w:rPr>
          <w:b/>
          <w:color w:val="000000"/>
          <w:sz w:val="28"/>
          <w:highlight w:val="none"/>
          <w:shd w:fill="auto" w:val="clear"/>
        </w:rPr>
      </w:pPr>
      <w:r>
        <w:rPr>
          <w:b/>
          <w:color w:val="000000"/>
          <w:sz w:val="28"/>
          <w:shd w:fill="auto" w:val="clear"/>
        </w:rPr>
      </w:r>
    </w:p>
    <w:p>
      <w:pPr>
        <w:pStyle w:val="Normal"/>
        <w:jc w:val="center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Normal"/>
        <w:jc w:val="center"/>
        <w:rPr>
          <w:b/>
          <w:color w:val="000000"/>
          <w:sz w:val="28"/>
          <w:szCs w:val="28"/>
          <w:highlight w:val="none"/>
          <w:shd w:fill="auto" w:val="clear"/>
        </w:rPr>
      </w:pPr>
      <w:r>
        <w:rPr>
          <w:b/>
          <w:color w:val="000000"/>
          <w:sz w:val="28"/>
          <w:szCs w:val="28"/>
          <w:shd w:fill="auto" w:val="clear"/>
        </w:rPr>
      </w:r>
    </w:p>
    <w:p>
      <w:pPr>
        <w:pStyle w:val="Normal"/>
        <w:jc w:val="center"/>
        <w:rPr>
          <w:b/>
          <w:color w:val="000000"/>
          <w:sz w:val="28"/>
          <w:szCs w:val="28"/>
          <w:highlight w:val="none"/>
          <w:shd w:fill="auto" w:val="clear"/>
        </w:rPr>
      </w:pPr>
      <w:r>
        <w:rPr>
          <w:b/>
          <w:color w:val="000000"/>
          <w:sz w:val="28"/>
          <w:szCs w:val="28"/>
          <w:shd w:fill="auto" w:val="clear"/>
        </w:rPr>
      </w:r>
    </w:p>
    <w:p>
      <w:pPr>
        <w:pStyle w:val="Normal"/>
        <w:jc w:val="center"/>
        <w:rPr>
          <w:b/>
          <w:color w:val="000000"/>
          <w:sz w:val="28"/>
          <w:szCs w:val="28"/>
          <w:highlight w:val="none"/>
          <w:shd w:fill="auto" w:val="clear"/>
        </w:rPr>
      </w:pPr>
      <w:r>
        <w:rPr>
          <w:b/>
          <w:color w:val="000000"/>
          <w:sz w:val="28"/>
          <w:szCs w:val="28"/>
          <w:shd w:fill="auto" w:val="clear"/>
        </w:rPr>
      </w:r>
    </w:p>
    <w:p>
      <w:pPr>
        <w:pStyle w:val="Normal"/>
        <w:jc w:val="center"/>
        <w:rPr>
          <w:b/>
          <w:color w:val="000000"/>
          <w:sz w:val="28"/>
          <w:szCs w:val="28"/>
          <w:highlight w:val="none"/>
          <w:shd w:fill="auto" w:val="clear"/>
        </w:rPr>
      </w:pPr>
      <w:r>
        <w:rPr>
          <w:b/>
          <w:color w:val="000000"/>
          <w:sz w:val="28"/>
          <w:szCs w:val="28"/>
          <w:shd w:fill="auto" w:val="clear"/>
        </w:rPr>
      </w:r>
    </w:p>
    <w:p>
      <w:pPr>
        <w:pStyle w:val="Normal"/>
        <w:jc w:val="center"/>
        <w:rPr>
          <w:b/>
          <w:color w:val="000000"/>
          <w:sz w:val="28"/>
          <w:szCs w:val="28"/>
          <w:highlight w:val="none"/>
          <w:shd w:fill="auto" w:val="clear"/>
        </w:rPr>
      </w:pPr>
      <w:r>
        <w:rPr>
          <w:b/>
          <w:color w:val="000000"/>
          <w:sz w:val="28"/>
          <w:szCs w:val="28"/>
          <w:shd w:fill="auto" w:val="clear"/>
        </w:rPr>
      </w:r>
    </w:p>
    <w:p>
      <w:pPr>
        <w:pStyle w:val="Normal"/>
        <w:jc w:val="center"/>
        <w:rPr>
          <w:b/>
          <w:color w:val="000000"/>
          <w:sz w:val="28"/>
          <w:szCs w:val="28"/>
          <w:highlight w:val="none"/>
          <w:shd w:fill="auto" w:val="clear"/>
        </w:rPr>
      </w:pPr>
      <w:r>
        <w:rPr>
          <w:b/>
          <w:color w:val="000000"/>
          <w:sz w:val="28"/>
          <w:szCs w:val="28"/>
          <w:shd w:fill="auto" w:val="clear"/>
        </w:rPr>
      </w:r>
    </w:p>
    <w:p>
      <w:pPr>
        <w:pStyle w:val="Normal"/>
        <w:jc w:val="center"/>
        <w:rPr>
          <w:b/>
          <w:color w:val="000000"/>
          <w:sz w:val="28"/>
          <w:szCs w:val="28"/>
          <w:highlight w:val="none"/>
          <w:shd w:fill="auto" w:val="clear"/>
        </w:rPr>
      </w:pPr>
      <w:r>
        <w:rPr>
          <w:b/>
          <w:color w:val="000000"/>
          <w:sz w:val="28"/>
          <w:szCs w:val="28"/>
          <w:shd w:fill="auto" w:val="clear"/>
        </w:rPr>
      </w:r>
    </w:p>
    <w:p>
      <w:pPr>
        <w:pStyle w:val="Normal"/>
        <w:jc w:val="center"/>
        <w:rPr>
          <w:b/>
          <w:color w:val="000000"/>
          <w:sz w:val="28"/>
          <w:szCs w:val="28"/>
          <w:highlight w:val="none"/>
          <w:shd w:fill="auto" w:val="clear"/>
        </w:rPr>
      </w:pPr>
      <w:r>
        <w:rPr>
          <w:b/>
          <w:color w:val="000000"/>
          <w:sz w:val="28"/>
          <w:szCs w:val="28"/>
          <w:shd w:fill="auto" w:val="clear"/>
        </w:rPr>
      </w:r>
    </w:p>
    <w:p>
      <w:pPr>
        <w:pStyle w:val="Normal"/>
        <w:jc w:val="center"/>
        <w:rPr>
          <w:b/>
          <w:color w:val="000000"/>
          <w:sz w:val="28"/>
          <w:szCs w:val="28"/>
          <w:highlight w:val="none"/>
          <w:shd w:fill="auto" w:val="clear"/>
        </w:rPr>
      </w:pPr>
      <w:r>
        <w:rPr>
          <w:b/>
          <w:color w:val="000000"/>
          <w:sz w:val="28"/>
          <w:szCs w:val="28"/>
          <w:shd w:fill="auto" w:val="clear"/>
        </w:rPr>
      </w:r>
    </w:p>
    <w:p>
      <w:pPr>
        <w:pStyle w:val="Normal"/>
        <w:jc w:val="center"/>
        <w:rPr>
          <w:b/>
          <w:color w:val="000000"/>
          <w:sz w:val="28"/>
          <w:szCs w:val="28"/>
          <w:highlight w:val="none"/>
          <w:shd w:fill="auto" w:val="clear"/>
        </w:rPr>
      </w:pPr>
      <w:r>
        <w:rPr>
          <w:b/>
          <w:color w:val="000000"/>
          <w:sz w:val="28"/>
          <w:szCs w:val="28"/>
          <w:shd w:fill="auto" w:val="clear"/>
        </w:rPr>
      </w:r>
    </w:p>
    <w:p>
      <w:pPr>
        <w:pStyle w:val="Normal"/>
        <w:jc w:val="center"/>
        <w:rPr>
          <w:b/>
          <w:color w:val="000000"/>
          <w:sz w:val="28"/>
          <w:szCs w:val="28"/>
          <w:highlight w:val="none"/>
          <w:shd w:fill="auto" w:val="clear"/>
        </w:rPr>
      </w:pPr>
      <w:r>
        <w:rPr>
          <w:b/>
          <w:color w:val="000000"/>
          <w:sz w:val="28"/>
          <w:szCs w:val="28"/>
          <w:shd w:fill="auto" w:val="clear"/>
        </w:rPr>
      </w:r>
    </w:p>
    <w:p>
      <w:pPr>
        <w:pStyle w:val="Normal"/>
        <w:jc w:val="center"/>
        <w:rPr>
          <w:b/>
          <w:color w:val="000000"/>
          <w:sz w:val="28"/>
          <w:szCs w:val="28"/>
          <w:highlight w:val="none"/>
          <w:shd w:fill="auto" w:val="clear"/>
        </w:rPr>
      </w:pPr>
      <w:r>
        <w:rPr>
          <w:b/>
          <w:color w:val="000000"/>
          <w:sz w:val="28"/>
          <w:szCs w:val="28"/>
          <w:shd w:fill="auto" w:val="clear"/>
        </w:rPr>
      </w:r>
    </w:p>
    <w:p>
      <w:pPr>
        <w:pStyle w:val="Normal"/>
        <w:jc w:val="center"/>
        <w:rPr>
          <w:b/>
          <w:color w:val="000000"/>
          <w:sz w:val="28"/>
          <w:szCs w:val="28"/>
          <w:highlight w:val="none"/>
          <w:shd w:fill="auto" w:val="clear"/>
        </w:rPr>
      </w:pPr>
      <w:r>
        <w:rPr>
          <w:b/>
          <w:color w:val="000000"/>
          <w:sz w:val="28"/>
          <w:szCs w:val="28"/>
          <w:shd w:fill="auto" w:val="clear"/>
        </w:rPr>
      </w:r>
    </w:p>
    <w:p>
      <w:pPr>
        <w:pStyle w:val="Normal"/>
        <w:jc w:val="center"/>
        <w:rPr>
          <w:b/>
          <w:color w:val="000000"/>
          <w:sz w:val="28"/>
          <w:szCs w:val="28"/>
          <w:highlight w:val="none"/>
          <w:shd w:fill="auto" w:val="clear"/>
        </w:rPr>
      </w:pPr>
      <w:r>
        <w:rPr>
          <w:b/>
          <w:color w:val="000000"/>
          <w:sz w:val="28"/>
          <w:szCs w:val="28"/>
          <w:shd w:fill="auto" w:val="clear"/>
        </w:rPr>
      </w:r>
    </w:p>
    <w:p>
      <w:pPr>
        <w:pStyle w:val="Normal"/>
        <w:jc w:val="center"/>
        <w:rPr>
          <w:b/>
          <w:color w:val="000000"/>
          <w:sz w:val="28"/>
          <w:szCs w:val="28"/>
          <w:highlight w:val="none"/>
          <w:shd w:fill="auto" w:val="clear"/>
        </w:rPr>
      </w:pPr>
      <w:r>
        <w:rPr>
          <w:b/>
          <w:color w:val="000000"/>
          <w:sz w:val="28"/>
          <w:szCs w:val="28"/>
          <w:shd w:fill="auto" w:val="clear"/>
        </w:rPr>
      </w:r>
    </w:p>
    <w:p>
      <w:pPr>
        <w:pStyle w:val="Normal"/>
        <w:jc w:val="center"/>
        <w:rPr>
          <w:b/>
          <w:color w:val="000000"/>
          <w:sz w:val="28"/>
          <w:szCs w:val="28"/>
          <w:highlight w:val="none"/>
          <w:shd w:fill="auto" w:val="clear"/>
        </w:rPr>
      </w:pPr>
      <w:r>
        <w:rPr>
          <w:b/>
          <w:color w:val="000000"/>
          <w:sz w:val="28"/>
          <w:szCs w:val="28"/>
          <w:shd w:fill="auto" w:val="clear"/>
        </w:rPr>
      </w:r>
    </w:p>
    <w:p>
      <w:pPr>
        <w:pStyle w:val="Normal"/>
        <w:jc w:val="center"/>
        <w:rPr>
          <w:b/>
          <w:color w:val="000000"/>
          <w:sz w:val="28"/>
          <w:szCs w:val="28"/>
          <w:highlight w:val="none"/>
          <w:shd w:fill="auto" w:val="clear"/>
        </w:rPr>
      </w:pPr>
      <w:r>
        <w:rPr>
          <w:b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08"/>
          <w:tab w:val="left" w:pos="1380" w:leader="none"/>
        </w:tabs>
        <w:rPr>
          <w:color w:val="000000"/>
          <w:highlight w:val="none"/>
          <w:shd w:fill="auto" w:val="clear"/>
        </w:rPr>
      </w:pPr>
      <w:r>
        <w:rPr>
          <w:b/>
          <w:color w:val="000000"/>
          <w:sz w:val="28"/>
          <w:szCs w:val="28"/>
          <w:shd w:fill="auto" w:val="clear"/>
        </w:rPr>
        <w:tab/>
      </w:r>
    </w:p>
    <w:p>
      <w:pPr>
        <w:pStyle w:val="Normal"/>
        <w:tabs>
          <w:tab w:val="clear" w:pos="708"/>
          <w:tab w:val="left" w:pos="1380" w:leader="none"/>
        </w:tabs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Normal"/>
        <w:tabs>
          <w:tab w:val="clear" w:pos="708"/>
          <w:tab w:val="left" w:pos="1380" w:leader="none"/>
        </w:tabs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Normal"/>
        <w:tabs>
          <w:tab w:val="clear" w:pos="708"/>
          <w:tab w:val="left" w:pos="1380" w:leader="none"/>
        </w:tabs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Normal"/>
        <w:tabs>
          <w:tab w:val="clear" w:pos="708"/>
          <w:tab w:val="left" w:pos="1380" w:leader="none"/>
        </w:tabs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Normal"/>
        <w:tabs>
          <w:tab w:val="clear" w:pos="708"/>
          <w:tab w:val="left" w:pos="1380" w:leader="none"/>
        </w:tabs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Normal"/>
        <w:tabs>
          <w:tab w:val="clear" w:pos="708"/>
          <w:tab w:val="left" w:pos="1380" w:leader="none"/>
        </w:tabs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Normal"/>
        <w:tabs>
          <w:tab w:val="clear" w:pos="708"/>
          <w:tab w:val="left" w:pos="1380" w:leader="none"/>
        </w:tabs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Normal"/>
        <w:tabs>
          <w:tab w:val="clear" w:pos="708"/>
          <w:tab w:val="left" w:pos="1380" w:leader="none"/>
        </w:tabs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Normal"/>
        <w:tabs>
          <w:tab w:val="clear" w:pos="708"/>
          <w:tab w:val="left" w:pos="1380" w:leader="none"/>
        </w:tabs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Стратегические приоритеты в сфере реализации муниципальной</w:t>
      </w:r>
    </w:p>
    <w:p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программы  «Управление муниципальными финансами  Анжеро-Судженского городского округа»</w:t>
      </w:r>
    </w:p>
    <w:p>
      <w:pPr>
        <w:pStyle w:val="ConsPlusTitle"/>
        <w:jc w:val="center"/>
        <w:rPr>
          <w:rFonts w:ascii="Times New Roman" w:hAnsi="Times New Roman"/>
          <w:color w:val="000000"/>
          <w:sz w:val="28"/>
          <w:szCs w:val="28"/>
          <w:highlight w:val="none"/>
          <w:shd w:fill="auto" w:val="clear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1. Оценка текущего состояния сферы управлениями</w:t>
      </w:r>
    </w:p>
    <w:p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муниципальными финансами</w:t>
      </w:r>
    </w:p>
    <w:p>
      <w:pPr>
        <w:pStyle w:val="ConsPlusNormal1"/>
        <w:jc w:val="both"/>
        <w:rPr>
          <w:rFonts w:ascii="Times New Roman" w:hAnsi="Times New Roman"/>
          <w:color w:val="000000"/>
          <w:sz w:val="28"/>
          <w:szCs w:val="28"/>
          <w:highlight w:val="none"/>
          <w:shd w:fill="auto" w:val="clear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</w:r>
    </w:p>
    <w:p>
      <w:pPr>
        <w:pStyle w:val="ConsPlusNormal1"/>
        <w:ind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ab/>
        <w:t>Долгосрочная сбалансированность и устойчивость бюджетной системы Анжеро-Судженского городского округа - важнейшее условие для стабильного функционирования бюджетного сектора городской экономики, оказания социальной поддержки населению, своевременного и полного исполнения принятых муниципалитетом обязательств, содействия инвестиционной и предпринимательской активности, а также достижения стратегических целей социально-экономического развития Анжеро-Судженского городского округа.</w:t>
      </w:r>
    </w:p>
    <w:p>
      <w:pPr>
        <w:pStyle w:val="ConsPlusNormal1"/>
        <w:ind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ab/>
        <w:t>Обеспечению долгосрочной сбалансированности и устойчивости бюджетной системы в значительной степени способствует эффективное и прозрачное управление муниципальными финансами, которое является базовым условием для повышения уровня жизни населения, обеспечения устойчивого экономического роста.</w:t>
      </w:r>
    </w:p>
    <w:p>
      <w:pPr>
        <w:pStyle w:val="ConsPlusNormal1"/>
        <w:ind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ab/>
        <w:t>В результате развития сферы муниципальных финансов:</w:t>
      </w:r>
    </w:p>
    <w:p>
      <w:pPr>
        <w:pStyle w:val="ConsPlusNormal1"/>
        <w:ind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ab/>
        <w:t>- осуществлено регулирование бюджетных правоотношений на основе реализации единых принципов бюджетной системы;</w:t>
      </w:r>
    </w:p>
    <w:p>
      <w:pPr>
        <w:pStyle w:val="ConsPlusNormal1"/>
        <w:ind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ab/>
        <w:t>- применены механизмы инвентаризации и приоритизации расходных обязательств, обеспечено своевременное выполнение принятых обязательств и минимизированы риски появления просроченной кредиторской задолженности;</w:t>
      </w:r>
    </w:p>
    <w:p>
      <w:pPr>
        <w:pStyle w:val="ConsPlusNormal1"/>
        <w:ind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ab/>
        <w:t>- повышен уровень обоснованности и прозрачности бюджетных ассигнований (планирование бюджета происходит посредством формирования обоснований бюджетных ассигнований);</w:t>
      </w:r>
    </w:p>
    <w:p>
      <w:pPr>
        <w:pStyle w:val="ConsPlusNormal1"/>
        <w:ind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ab/>
        <w:t>- осуществлено внедрение инструментов бюджетирования, ориентированного на результат;</w:t>
      </w:r>
    </w:p>
    <w:p>
      <w:pPr>
        <w:pStyle w:val="ConsPlusNormal1"/>
        <w:ind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ab/>
        <w:t>- установлены правила и процедуры размещения заказов на поставку товаров, выполнение работ, оказание услуг для муниципальных нужд;</w:t>
      </w:r>
    </w:p>
    <w:p>
      <w:pPr>
        <w:pStyle w:val="ConsPlusNormal1"/>
        <w:ind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ab/>
        <w:t>- осуществлено обеспечение кассового обслуживания бюджетных расходов через систему Федерального казначейства;</w:t>
      </w:r>
    </w:p>
    <w:p>
      <w:pPr>
        <w:pStyle w:val="ConsPlusNormal1"/>
        <w:ind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ab/>
        <w:t>- обеспечено казначейское сопровождение расчетов по муниципальным контрактам, заключенным за счет средств бюджета муниципального образования «Анжеро-Судженский городской округ Кемеровской области - Кузбасса (далее - местный бюджет);</w:t>
      </w:r>
    </w:p>
    <w:p>
      <w:pPr>
        <w:pStyle w:val="ConsPlusNormal1"/>
        <w:ind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ab/>
        <w:t>- осуществлено предоставление налоговых льгот, позволяющих достичь бюджетных, социальных и экономических эффектов;</w:t>
      </w:r>
    </w:p>
    <w:p>
      <w:pPr>
        <w:pStyle w:val="ConsPlusNormal1"/>
        <w:ind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ab/>
        <w:t>- обеспечена прозрачность и открытость бюджетного процесса, сохранен высокий уровень открытости данных о местном бюджете, включая формирование аналитических материалов для широкого круга пользователей.</w:t>
      </w:r>
    </w:p>
    <w:p>
      <w:pPr>
        <w:pStyle w:val="ConsPlusNormal1"/>
        <w:ind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ab/>
        <w:t>В основу бюджетного процесса в Анжеро-Судженском городском округе заложен программный принцип формирования местного бюджета. Муниципальные программы являются инструментом повышения эффективности бюджетных расходов и достижения долгосрочных целей развития Анжеро-Судженского городского округа. Данный формат обеспечивает наглядность направления расходов местного бюджета на реализацию мероприятий муниципальных программ Анжеро-Судженского городского округа. В 2024 году доля программных расходов в общем объеме расходов местного бюджета составила 99,7 процента.</w:t>
      </w:r>
    </w:p>
    <w:p>
      <w:pPr>
        <w:pStyle w:val="ConsPlusNormal1"/>
        <w:ind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ab/>
        <w:t>Для наиболее результативного управления муниципальными финансами Анжеро-Судженского городского округа, эффективного использования бюджетных средств и обеспечения сбалансированности местного бюджета реализуются мероприятия программы финансового оздоровления Анжеро-Судженского городского округа в соответствии с постановлением администрации Анжеро-Судженского городского округа от 27.02.2025 № 276 «Об утверждении Программы финансового оздоровления муниципального образования «Анжеро-Судженский городской округ Кемеровской области - Кузбасса»  на 2025-2028 годы» (с учетом изменений и дополнений).</w:t>
      </w:r>
    </w:p>
    <w:p>
      <w:pPr>
        <w:pStyle w:val="ConsPlusNormal1"/>
        <w:ind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ab/>
        <w:t>Целью указанных мероприятий является решение следующих задач:</w:t>
      </w:r>
    </w:p>
    <w:p>
      <w:pPr>
        <w:pStyle w:val="ConsPlusNormal1"/>
        <w:ind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ab/>
        <w:t>- обеспечение роста налоговых и неналоговых доходов местного бюджета;</w:t>
      </w:r>
    </w:p>
    <w:p>
      <w:pPr>
        <w:pStyle w:val="ConsPlusNormal1"/>
        <w:ind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ab/>
        <w:t>- реализация мер по оптимизации бюджетных расходов и повышению эффективности использования бюджетных средств;</w:t>
      </w:r>
    </w:p>
    <w:p>
      <w:pPr>
        <w:pStyle w:val="ConsPlusNormal1"/>
        <w:ind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ab/>
        <w:t>- поддержание объема муниципального долга Анжеро-Судженского городского округа на оптимальном уровне, минимизация стоимости его обслуживания.</w:t>
      </w:r>
    </w:p>
    <w:p>
      <w:pPr>
        <w:pStyle w:val="ConsPlusNormal1"/>
        <w:ind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ab/>
      </w:r>
      <w:r>
        <w:rPr>
          <w:rFonts w:ascii="Times New Roman" w:hAnsi="Times New Roman"/>
          <w:color w:val="000000" w:themeShade="80"/>
          <w:sz w:val="28"/>
          <w:szCs w:val="28"/>
          <w:shd w:fill="auto" w:val="clear"/>
        </w:rPr>
        <w:t xml:space="preserve">При исполнении доходной части местного бюджета за 2024 год наблюдается положительная динамика по налоговым и неналоговым доходам.  Поступление налоговых и неналоговых доходов в 2024 году составило 1001,7 млн рублей, что на 4,3 млн рублей или на 11,6 % больше уровня 2023 года. 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color w:val="000000" w:themeShade="80"/>
          <w:sz w:val="28"/>
          <w:szCs w:val="28"/>
          <w:shd w:fill="auto" w:val="clear"/>
        </w:rPr>
        <w:tab/>
      </w:r>
      <w:r>
        <w:rPr>
          <w:color w:val="000000"/>
          <w:sz w:val="28"/>
          <w:szCs w:val="28"/>
          <w:shd w:fill="auto" w:val="clear"/>
        </w:rPr>
        <w:t xml:space="preserve">Основным источником налоговых и неналоговых доходов </w:t>
      </w:r>
      <w:bookmarkStart w:id="7" w:name="_GoBack_Копия_1"/>
      <w:bookmarkEnd w:id="7"/>
      <w:r>
        <w:rPr>
          <w:color w:val="000000"/>
          <w:sz w:val="28"/>
          <w:szCs w:val="28"/>
          <w:shd w:fill="auto" w:val="clear"/>
        </w:rPr>
        <w:t>(66,5 %) является  н</w:t>
      </w:r>
      <w:r>
        <w:rPr>
          <w:bCs/>
          <w:color w:val="000000"/>
          <w:sz w:val="28"/>
          <w:szCs w:val="28"/>
          <w:shd w:fill="auto" w:val="clear"/>
        </w:rPr>
        <w:t>алог на доходы с физических лиц.</w:t>
      </w:r>
      <w:r>
        <w:rPr>
          <w:color w:val="000000"/>
          <w:sz w:val="28"/>
          <w:szCs w:val="28"/>
          <w:shd w:fill="auto" w:val="clear"/>
        </w:rPr>
        <w:t xml:space="preserve"> За 2024 год получено 666,2 млн рублей. К уровню прошлого года доходы увеличились на 58,7 млн рублей или на 9,7 %.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color w:val="000000"/>
          <w:sz w:val="28"/>
          <w:szCs w:val="28"/>
          <w:shd w:fill="auto" w:val="clear"/>
        </w:rPr>
        <w:t>Увеличение поступлений налога на доходы физических лиц, несмотря на снижение норматива отчислений в местный бюджет с 32,47 % и 28,25 % (2023 год) до 31,05 % и 27,01 % (2024 год), связано с: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color w:val="000000"/>
          <w:sz w:val="28"/>
          <w:szCs w:val="28"/>
          <w:shd w:fill="auto" w:val="clear"/>
        </w:rPr>
        <w:t xml:space="preserve">- увеличением заработной платы бюджетных учреждений на 10,0 % с сентября 2023 года отдельным категориям работников по Указам Президента, на 10,0 % - с декабря 2023 года, на 7,7 % - с марта 2024 года; 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color w:val="000000"/>
          <w:sz w:val="28"/>
          <w:szCs w:val="28"/>
          <w:shd w:fill="auto" w:val="clear"/>
        </w:rPr>
        <w:tab/>
        <w:t>- ростом ФОТ по крупным и средним предприятиям за 12 месяцев 2024 года на 17,7 %.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color w:val="000000"/>
          <w:sz w:val="28"/>
          <w:szCs w:val="28"/>
          <w:shd w:fill="auto" w:val="clear"/>
        </w:rPr>
        <w:tab/>
      </w:r>
      <w:r>
        <w:rPr>
          <w:color w:val="000000" w:themeShade="80"/>
          <w:sz w:val="28"/>
          <w:szCs w:val="28"/>
          <w:shd w:fill="auto" w:val="clear"/>
        </w:rPr>
        <w:t>Положительным моментом при исполнении доходной части местного бюджета можно отметить: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color w:val="000000"/>
          <w:sz w:val="28"/>
          <w:szCs w:val="28"/>
          <w:shd w:fill="auto" w:val="clear"/>
        </w:rPr>
        <w:tab/>
        <w:t>- увеличение поступлений</w:t>
      </w:r>
      <w:r>
        <w:rPr>
          <w:rFonts w:eastAsia="Times New Roman" w:cs="Times New Roman"/>
          <w:color w:val="000000"/>
          <w:kern w:val="0"/>
          <w:sz w:val="28"/>
          <w:szCs w:val="28"/>
          <w:shd w:fill="auto" w:val="clear"/>
          <w:lang w:val="ru-RU" w:eastAsia="ru-RU" w:bidi="ar-SA"/>
        </w:rPr>
        <w:t xml:space="preserve"> акцизов по подакцизным товарам (продукции) на 3424,5 тыс. рублей или на 13,1 %, в связи с изменением прогнозируемого объема реализации на внутреннем рынке, индексацией налоговых ставок на 4,0 %, а также увеличением норматива распределения доходов от уплаты акцизов на ГСМ в местный бюджет в 2024 году -  с 0,3071 в 2023 году до 0,3239 в 2024 году;</w:t>
      </w:r>
    </w:p>
    <w:p>
      <w:pPr>
        <w:pStyle w:val="Normal"/>
        <w:ind w:left="0" w:right="0" w:firstLine="708"/>
        <w:jc w:val="both"/>
        <w:rPr>
          <w:rFonts w:ascii="Times New Roman" w:hAnsi="Times New Roman"/>
          <w:sz w:val="28"/>
          <w:szCs w:val="28"/>
        </w:rPr>
      </w:pPr>
      <w:r>
        <w:rPr>
          <w:color w:val="000000"/>
          <w:sz w:val="28"/>
          <w:szCs w:val="28"/>
          <w:shd w:fill="auto" w:val="clear"/>
        </w:rPr>
        <w:t xml:space="preserve">- увеличение поступлений по упрощенной системе налогообложения на 13950,3  </w:t>
      </w:r>
      <w:r>
        <w:rPr>
          <w:rFonts w:eastAsia="Times New Roman" w:cs="Times New Roman"/>
          <w:color w:val="000000"/>
          <w:kern w:val="0"/>
          <w:sz w:val="28"/>
          <w:szCs w:val="28"/>
          <w:shd w:fill="auto" w:val="clear"/>
          <w:lang w:val="ru-RU" w:eastAsia="ru-RU" w:bidi="ar-SA"/>
        </w:rPr>
        <w:t>тыс. рублей или на 19,3 %,   в связи с погашением задолженности прошлых лет;</w:t>
      </w:r>
    </w:p>
    <w:p>
      <w:pPr>
        <w:pStyle w:val="Normal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/>
          <w:color w:val="000000"/>
          <w:kern w:val="0"/>
          <w:sz w:val="28"/>
          <w:szCs w:val="28"/>
          <w:shd w:fill="auto" w:val="clear"/>
          <w:lang w:val="ru-RU" w:eastAsia="ru-RU" w:bidi="ar-SA"/>
        </w:rPr>
        <w:t>- увеличение поступлений от налога, взимаемого в связи с применением патентной системы налогообложения на 9522,2 тыс. рублей или в 4,1 раза. Увеличение поступлений обусловлено переносом срока уплаты налога с 31.12.2023 года на 09.01.2024 года;</w:t>
      </w:r>
    </w:p>
    <w:p>
      <w:pPr>
        <w:pStyle w:val="Normal"/>
        <w:ind w:left="0" w:righ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8"/>
          <w:szCs w:val="28"/>
          <w:u w:val="none"/>
          <w:shd w:fill="auto" w:val="clear"/>
          <w:em w:val="none"/>
          <w:lang w:val="ru-RU" w:eastAsia="en-US" w:bidi="ar-SA"/>
        </w:rPr>
        <w:t xml:space="preserve">- увеличение поступлений по земельному налогу с организаций на 5689,4 </w:t>
      </w:r>
      <w:r>
        <w:rPr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8"/>
          <w:szCs w:val="28"/>
          <w:u w:val="none"/>
          <w:shd w:fill="auto" w:val="clear"/>
          <w:em w:val="none"/>
          <w:lang w:val="ru-RU" w:eastAsia="ru-RU" w:bidi="ar-SA"/>
        </w:rPr>
        <w:t xml:space="preserve">тыс. рублей </w:t>
      </w:r>
      <w:r>
        <w:rPr>
          <w:rFonts w:eastAsia="Calibri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8"/>
          <w:szCs w:val="28"/>
          <w:u w:val="none"/>
          <w:shd w:fill="auto" w:val="clear"/>
          <w:em w:val="none"/>
          <w:lang w:val="ru-RU" w:eastAsia="en-US" w:bidi="ar-SA"/>
        </w:rPr>
        <w:t xml:space="preserve">или на 20 %, в связи с увеличением кадастровой стоимости земельных участков отдельных налогоплательщиков; </w:t>
      </w:r>
    </w:p>
    <w:p>
      <w:pPr>
        <w:pStyle w:val="Normal"/>
        <w:ind w:left="0" w:righ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8"/>
          <w:szCs w:val="28"/>
          <w:u w:val="none"/>
          <w:shd w:fill="auto" w:val="clear"/>
          <w:em w:val="none"/>
          <w:lang w:val="ru-RU" w:eastAsia="en-US" w:bidi="ar-SA"/>
        </w:rPr>
        <w:t xml:space="preserve">- увеличение поступлений  по земельному налогу с физических лиц на 534,4 </w:t>
      </w:r>
      <w:r>
        <w:rPr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8"/>
          <w:szCs w:val="28"/>
          <w:u w:val="none"/>
          <w:shd w:fill="auto" w:val="clear"/>
          <w:em w:val="none"/>
          <w:lang w:val="ru-RU" w:eastAsia="ru-RU" w:bidi="ar-SA"/>
        </w:rPr>
        <w:t xml:space="preserve">тыс. рублей </w:t>
      </w:r>
      <w:r>
        <w:rPr>
          <w:rFonts w:eastAsia="Calibri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8"/>
          <w:szCs w:val="28"/>
          <w:u w:val="none"/>
          <w:shd w:fill="auto" w:val="clear"/>
          <w:em w:val="none"/>
          <w:lang w:val="ru-RU" w:eastAsia="en-US" w:bidi="ar-SA"/>
        </w:rPr>
        <w:t>или на 7,0 %, в связи с проведением адресной работы с налогоплательщиками, изменением кадастровой стоимости земельных участков;</w:t>
      </w:r>
    </w:p>
    <w:p>
      <w:pPr>
        <w:pStyle w:val="Normal"/>
        <w:ind w:left="0" w:righ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8"/>
          <w:szCs w:val="28"/>
          <w:u w:val="none"/>
          <w:shd w:fill="auto" w:val="clear"/>
          <w:em w:val="none"/>
          <w:lang w:val="ru-RU" w:eastAsia="en-US" w:bidi="ar-SA"/>
        </w:rPr>
        <w:t xml:space="preserve">- увеличение поступлений по государственной </w:t>
      </w:r>
      <w:r>
        <w:rPr>
          <w:rFonts w:eastAsia="Calibri" w:cs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0"/>
          <w:sz w:val="28"/>
          <w:szCs w:val="28"/>
          <w:u w:val="none"/>
          <w:shd w:fill="auto" w:val="clear"/>
          <w:em w:val="none"/>
          <w:lang w:val="ru-RU" w:eastAsia="en-US" w:bidi="ar-SA"/>
        </w:rPr>
        <w:t xml:space="preserve">пошлине на 8247,1 тыс. рублей или на 80 %, основная причина - увеличение поступлений государственной пошлины по делам, рассматриваемым в судах общей юрисдикции, мировыми судьями, в связи с увеличением с сентября 2024 года ставок государственной пошлины; </w:t>
      </w:r>
    </w:p>
    <w:p>
      <w:pPr>
        <w:pStyle w:val="Normal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/>
          <w:color w:val="000000"/>
          <w:kern w:val="0"/>
          <w:sz w:val="28"/>
          <w:szCs w:val="28"/>
          <w:shd w:fill="auto" w:val="clear"/>
          <w:lang w:val="ru-RU" w:eastAsia="ru-RU" w:bidi="ar-SA"/>
        </w:rPr>
        <w:t>- увеличение поступлений по арендной плате за земельные участки на 3558,1 тыс. рублей или на 5,5 %  в связи с проведением претензионно-исковой работы;</w:t>
      </w:r>
    </w:p>
    <w:p>
      <w:pPr>
        <w:pStyle w:val="Normal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/>
          <w:color w:val="000000"/>
          <w:kern w:val="0"/>
          <w:sz w:val="28"/>
          <w:szCs w:val="28"/>
          <w:shd w:fill="auto" w:val="clear"/>
          <w:lang w:val="ru-RU" w:eastAsia="ru-RU" w:bidi="ar-SA"/>
        </w:rPr>
        <w:t xml:space="preserve">-  увеличение поступлений по доходам от сдачи в аренду имущества, составляющего казну городских округов  на 7,4 % или 1502,6 тыс. рублей, </w:t>
      </w:r>
      <w:r>
        <w:rPr>
          <w:rFonts w:eastAsia="Times New Roman" w:cs="Times New Roman"/>
          <w:color w:val="000000"/>
          <w:kern w:val="0"/>
          <w:sz w:val="28"/>
          <w:szCs w:val="28"/>
          <w:shd w:fill="auto" w:val="clear"/>
          <w:lang w:val="ru-RU" w:eastAsia="zh-CN" w:bidi="ar-SA"/>
        </w:rPr>
        <w:t>в связи с заключением новых договоров аренды;</w:t>
      </w:r>
    </w:p>
    <w:p>
      <w:pPr>
        <w:pStyle w:val="Normal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/>
          <w:color w:val="000000"/>
          <w:kern w:val="0"/>
          <w:sz w:val="28"/>
          <w:szCs w:val="28"/>
          <w:shd w:fill="auto" w:val="clear"/>
          <w:lang w:val="ru-RU" w:eastAsia="ru-RU" w:bidi="ar-SA"/>
        </w:rPr>
        <w:t>- увеличен</w:t>
      </w:r>
      <w:r>
        <w:rPr>
          <w:rFonts w:eastAsia="Calibri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8"/>
          <w:szCs w:val="28"/>
          <w:u w:val="none"/>
          <w:shd w:fill="auto" w:val="clear"/>
          <w:em w:val="none"/>
          <w:lang w:val="ru-RU" w:eastAsia="en-US" w:bidi="ar-SA"/>
        </w:rPr>
        <w:t xml:space="preserve">ие поступлений </w:t>
      </w:r>
      <w:r>
        <w:rPr>
          <w:rFonts w:eastAsia="Calibri" w:cs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0"/>
          <w:sz w:val="28"/>
          <w:szCs w:val="28"/>
          <w:u w:val="none"/>
          <w:shd w:fill="auto" w:val="clear"/>
          <w:em w:val="none"/>
          <w:lang w:val="ru-RU" w:eastAsia="en-US" w:bidi="ar-SA"/>
        </w:rPr>
        <w:t>п</w:t>
      </w:r>
      <w:r>
        <w:rPr>
          <w:rFonts w:eastAsia="Times New Roman" w:cs="Times New Roman"/>
          <w:color w:val="000000"/>
          <w:kern w:val="0"/>
          <w:sz w:val="28"/>
          <w:szCs w:val="28"/>
          <w:shd w:fill="auto" w:val="clear"/>
          <w:lang w:val="ru-RU" w:eastAsia="ru-RU" w:bidi="ar-SA"/>
        </w:rPr>
        <w:t>о п</w:t>
      </w:r>
      <w:r>
        <w:rPr>
          <w:rFonts w:eastAsia="Calibri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8"/>
          <w:szCs w:val="28"/>
          <w:u w:val="none"/>
          <w:shd w:fill="auto" w:val="clear"/>
          <w:em w:val="none"/>
          <w:lang w:val="ru-RU" w:eastAsia="en-US" w:bidi="ar-SA"/>
        </w:rPr>
        <w:t xml:space="preserve">лате за негативное воздействие на окружающую среду на 1239,5 тыс. рублей или на 51,2 %, в связи с  поступлением  от </w:t>
      </w:r>
      <w:r>
        <w:rPr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8"/>
          <w:szCs w:val="28"/>
          <w:u w:val="none"/>
          <w:shd w:fill="auto" w:val="clear"/>
          <w:em w:val="none"/>
          <w:lang w:val="ru-RU" w:eastAsia="zh-CN" w:bidi="ar-SA"/>
        </w:rPr>
        <w:t>отделения судебных приставов</w:t>
      </w:r>
      <w:r>
        <w:rPr>
          <w:rFonts w:eastAsia="Calibri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8"/>
          <w:szCs w:val="28"/>
          <w:u w:val="none"/>
          <w:shd w:fill="auto" w:val="clear"/>
          <w:em w:val="none"/>
          <w:lang w:val="ru-RU" w:eastAsia="en-US" w:bidi="ar-SA"/>
        </w:rPr>
        <w:t xml:space="preserve"> по г. Анжеро-Судженску ГУФССП России по Кемеровской области - Кузбассу задолженности по ООО «Чистая вода» в размере 1221,5 тыс. рублей;</w:t>
      </w:r>
    </w:p>
    <w:p>
      <w:pPr>
        <w:pStyle w:val="311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8"/>
          <w:szCs w:val="28"/>
          <w:u w:val="none"/>
          <w:shd w:fill="auto" w:val="clear"/>
          <w:em w:val="none"/>
          <w:lang w:val="ru-RU" w:eastAsia="ru-RU" w:bidi="ar-SA"/>
        </w:rPr>
        <w:t>- увеличен</w:t>
      </w:r>
      <w:r>
        <w:rPr>
          <w:rFonts w:eastAsia="Calibri" w:cs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8"/>
          <w:szCs w:val="28"/>
          <w:u w:val="none"/>
          <w:shd w:fill="auto" w:val="clear"/>
          <w:em w:val="none"/>
          <w:lang w:val="ru-RU" w:eastAsia="en-US" w:bidi="ar-SA"/>
        </w:rPr>
        <w:t xml:space="preserve">ие поступлений </w:t>
      </w:r>
      <w:r>
        <w:rPr>
          <w:rFonts w:eastAsia="Calibri" w:cs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0"/>
          <w:sz w:val="28"/>
          <w:szCs w:val="28"/>
          <w:u w:val="none"/>
          <w:shd w:fill="auto" w:val="clear"/>
          <w:em w:val="none"/>
          <w:lang w:val="ru-RU" w:eastAsia="en-US" w:bidi="ar-SA"/>
        </w:rPr>
        <w:t>п</w:t>
      </w:r>
      <w:r>
        <w:rPr>
          <w:rFonts w:eastAsia="Times New Roman" w:cs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8"/>
          <w:szCs w:val="28"/>
          <w:u w:val="none"/>
          <w:shd w:fill="auto" w:val="clear"/>
          <w:em w:val="none"/>
          <w:lang w:val="ru-RU" w:eastAsia="ru-RU" w:bidi="ar-SA"/>
        </w:rPr>
        <w:t xml:space="preserve">о </w:t>
      </w:r>
      <w:r>
        <w:rPr>
          <w:rFonts w:eastAsia="Calibri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8"/>
          <w:szCs w:val="28"/>
          <w:u w:val="none"/>
          <w:shd w:fill="auto" w:val="clear"/>
          <w:em w:val="none"/>
          <w:lang w:val="ru-RU" w:eastAsia="en-US" w:bidi="ar-SA"/>
        </w:rPr>
        <w:t xml:space="preserve"> доходам от реализации имущества, находящегося в собственности городских округов </w:t>
      </w:r>
      <w:r>
        <w:rPr>
          <w:rFonts w:eastAsia="Calibri" w:cs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8"/>
          <w:szCs w:val="28"/>
          <w:u w:val="none"/>
          <w:shd w:fill="auto" w:val="clear"/>
          <w:em w:val="none"/>
          <w:lang w:val="ru-RU" w:eastAsia="en-US" w:bidi="ar-SA"/>
        </w:rPr>
        <w:t>на 4310,1 тыс. рублей, в связи с реализацией трех объектов муниципальной собственности;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8"/>
          <w:szCs w:val="28"/>
          <w:u w:val="none"/>
          <w:shd w:fill="auto" w:val="clear"/>
          <w:em w:val="none"/>
          <w:lang w:val="ru-RU" w:eastAsia="ru-RU" w:bidi="ar-SA"/>
        </w:rPr>
        <w:tab/>
        <w:t>- увеличен</w:t>
      </w:r>
      <w:r>
        <w:rPr>
          <w:rFonts w:eastAsia="Calibri" w:cs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8"/>
          <w:szCs w:val="28"/>
          <w:u w:val="none"/>
          <w:shd w:fill="auto" w:val="clear"/>
          <w:em w:val="none"/>
          <w:lang w:val="ru-RU" w:eastAsia="en-US" w:bidi="ar-SA"/>
        </w:rPr>
        <w:t xml:space="preserve">ие поступлений </w:t>
      </w:r>
      <w:r>
        <w:rPr>
          <w:rFonts w:eastAsia="Calibri" w:cs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0"/>
          <w:sz w:val="28"/>
          <w:szCs w:val="28"/>
          <w:u w:val="none"/>
          <w:shd w:fill="auto" w:val="clear"/>
          <w:em w:val="none"/>
          <w:lang w:val="ru-RU" w:eastAsia="en-US" w:bidi="ar-SA"/>
        </w:rPr>
        <w:t>п</w:t>
      </w:r>
      <w:r>
        <w:rPr>
          <w:rFonts w:eastAsia="Times New Roman" w:cs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8"/>
          <w:szCs w:val="28"/>
          <w:u w:val="none"/>
          <w:shd w:fill="auto" w:val="clear"/>
          <w:em w:val="none"/>
          <w:lang w:val="ru-RU" w:eastAsia="ru-RU" w:bidi="ar-SA"/>
        </w:rPr>
        <w:t xml:space="preserve">о </w:t>
      </w:r>
      <w:r>
        <w:rPr>
          <w:rFonts w:eastAsia="Calibri" w:cs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8"/>
          <w:szCs w:val="28"/>
          <w:u w:val="none"/>
          <w:shd w:fill="auto" w:val="clear"/>
          <w:em w:val="none"/>
          <w:lang w:val="ru-RU" w:eastAsia="en-US" w:bidi="ar-SA"/>
        </w:rPr>
        <w:t xml:space="preserve">штрафам, санкциям, возмещению ущерба на 35,8 % или на 1078,8 тыс. рублей, в связи с </w:t>
      </w:r>
      <w:r>
        <w:rPr>
          <w:rFonts w:eastAsia="Times New Roman" w:cs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8"/>
          <w:szCs w:val="28"/>
          <w:u w:val="none"/>
          <w:shd w:fill="auto" w:val="clear"/>
          <w:em w:val="none"/>
          <w:lang w:val="ru-RU" w:eastAsia="ru-RU" w:bidi="ar-SA"/>
        </w:rPr>
        <w:t xml:space="preserve">поступлениями по искам о возмещении вреда, причиненного окружающей среде от АО «Транснефть Западная Сибирь» по администратору доходов — комитет по управлению муниципальным имуществом администрации Анжеро-Судженского городского округа. 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color w:val="000000"/>
          <w:sz w:val="28"/>
          <w:szCs w:val="28"/>
          <w:shd w:fill="auto" w:val="clear"/>
        </w:rPr>
        <w:tab/>
      </w:r>
      <w:bookmarkStart w:id="8" w:name="__DdeLink__9764_3429019520"/>
      <w:r>
        <w:rPr>
          <w:rFonts w:eastAsia="Calibri"/>
          <w:color w:val="000000"/>
          <w:sz w:val="28"/>
          <w:szCs w:val="28"/>
          <w:shd w:fill="auto" w:val="clear"/>
          <w:lang w:eastAsia="en-US"/>
        </w:rPr>
        <w:t>Бюджетный эффект от проведенных мероприятий в рамках программы финансового оздоровления</w:t>
      </w:r>
      <w:bookmarkEnd w:id="8"/>
      <w:r>
        <w:rPr>
          <w:rFonts w:eastAsia="Calibri"/>
          <w:color w:val="000000"/>
          <w:sz w:val="28"/>
          <w:szCs w:val="28"/>
          <w:shd w:fill="auto" w:val="clear"/>
          <w:lang w:eastAsia="en-US"/>
        </w:rPr>
        <w:t xml:space="preserve"> составил за 2024 год - 64,22 млн рублей, в том числе: по увеличению доходов в объеме — 25,32 млн рублей, по оптимизации бюджетных расходов и повышению эффективности использования бюджетных средств — 38,9 млрд рублей, из-за отсутствия проведенных операций по реструктуризации долговых обязательств эффект отсутствует.</w:t>
      </w:r>
    </w:p>
    <w:p>
      <w:pPr>
        <w:pStyle w:val="Style23"/>
        <w:ind w:firstLine="709"/>
        <w:rPr>
          <w:rFonts w:ascii="Times New Roman" w:hAnsi="Times New Roman"/>
          <w:sz w:val="28"/>
          <w:szCs w:val="28"/>
        </w:rPr>
      </w:pPr>
      <w:r>
        <w:rPr>
          <w:rFonts w:eastAsia="Calibri"/>
          <w:color w:val="000000"/>
          <w:sz w:val="28"/>
          <w:szCs w:val="28"/>
          <w:shd w:fill="auto" w:val="clear"/>
          <w:lang w:eastAsia="en-US"/>
        </w:rPr>
        <w:t>На протяжении последних двух лет местный бюджет исполнялся с профицитом, что позволило не привлекать рыночные заимствования и создать резерв на 2025 год для сохранения устойчивости местного  бюджета в условиях нестабильной экономической ситуации в связи с  геополитическими изменениями.</w:t>
      </w:r>
    </w:p>
    <w:p>
      <w:pPr>
        <w:pStyle w:val="ConsPlusNormal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 xml:space="preserve">За 2024 год муниципальный  долг снизился на 6,2 млн рублей или на 7,0 % и на 01.01.2025 года составил -  81,6 млн рублей или </w:t>
      </w:r>
      <w:r>
        <w:rPr>
          <w:rFonts w:eastAsia="Calibri" w:cs="Times New Roman" w:ascii="Times New Roman" w:hAnsi="Times New Roman"/>
          <w:color w:val="000000"/>
          <w:sz w:val="28"/>
          <w:szCs w:val="28"/>
          <w:shd w:fill="auto" w:val="clear"/>
        </w:rPr>
        <w:t>14,8 % от доходов бюджета без учета объема безвозмездных поступлений и поступлений от дополнительного норматива, что соответствует ограничениям, установленным в соответствии с п.5 ст.107 Бюджетного кодекса Российской Федерации (не более 100 %)</w:t>
      </w:r>
      <w:r>
        <w:rPr>
          <w:rFonts w:ascii="Times New Roman" w:hAnsi="Times New Roman"/>
          <w:color w:val="000000"/>
          <w:sz w:val="28"/>
          <w:szCs w:val="28"/>
          <w:shd w:fill="auto" w:val="clear"/>
        </w:rPr>
        <w:t xml:space="preserve">. </w:t>
      </w:r>
      <w:r>
        <w:rPr>
          <w:rFonts w:eastAsia="Calibri" w:cs="PT Astra Serif" w:ascii="Times New Roman" w:hAnsi="Times New Roman"/>
          <w:color w:val="000000"/>
          <w:sz w:val="28"/>
          <w:szCs w:val="28"/>
          <w:shd w:fill="auto" w:val="clear"/>
        </w:rPr>
        <w:t>Снижение  долговой нагрузки по сравнению с 2023 годом за счет гашения задолженности, в соответствии с графиками гашения задолженности, утвержденными контрактами (дополнительными соглашениями к контрактам) о предоставлении бюджетных кредитов.</w:t>
      </w:r>
    </w:p>
    <w:p>
      <w:pPr>
        <w:pStyle w:val="ConsPlusNormal1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По итогам 2024 года Анжеро-Судженский городской округ вошел в группу муниципальных образований с высоким уровнем долговой устойчивости.</w:t>
      </w:r>
    </w:p>
    <w:p>
      <w:pPr>
        <w:pStyle w:val="ConsPlusNormal1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С 2022 года решениями Совета народных депутатов Анжеро-Судженского городского округа о бюджете муниципального образования «Анжеро-Судженский городской округ Кемеровской области - Кузбасса» в составе программы муниципальных внутренних заимствований бюджета предусмотрено привлечение кредитов из других бюджетов бюджетной системы Российской Федерации бюджетами городских округов в валюте Российской Федерации (бюджетные кредиты, предоставленные за счет средств областного бюджета на пополнение остатков средств на едином счете бюджета), таким образом, в течение финансового года возможно привлечение кратковременных заимствований  Управления Федерального казначейства по Кемеровской области — Кузбассу, предоставлении муниципальному образованию бюджетного кредита на пополнение остатка средств на едином счете бюджета.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color w:val="000000"/>
          <w:sz w:val="28"/>
          <w:szCs w:val="28"/>
          <w:shd w:fill="auto" w:val="clear"/>
        </w:rPr>
        <w:t>Проведена результативная работа по сокращению просроченной кредиторской задолженности.</w:t>
      </w:r>
    </w:p>
    <w:p>
      <w:pPr>
        <w:pStyle w:val="Normal"/>
        <w:spacing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color w:val="000000"/>
          <w:sz w:val="28"/>
          <w:szCs w:val="28"/>
          <w:shd w:fill="auto" w:val="clear"/>
        </w:rPr>
        <w:t xml:space="preserve">С 2020 года на законодательном уровне закреплена обязанность учета и оценки налоговых расходов, обусловленных предоставлением налоговых льгот. </w:t>
      </w:r>
      <w:r>
        <w:rPr>
          <w:bCs/>
          <w:color w:val="000000"/>
          <w:sz w:val="28"/>
          <w:szCs w:val="28"/>
          <w:shd w:fill="auto" w:val="clear"/>
        </w:rPr>
        <w:t xml:space="preserve">В соответствии с постановлением администрации Анжеро-Судженского городского округа от 25.03.2020 № 246 «Об утверждении Положения о формировании перечня налоговых расходов и оценке налоговых расходов муниципального образования «Анжеро-Судженский городской округ» </w:t>
      </w:r>
      <w:r>
        <w:rPr>
          <w:color w:val="000000"/>
          <w:sz w:val="28"/>
          <w:szCs w:val="28"/>
          <w:shd w:fill="auto" w:val="clear"/>
        </w:rPr>
        <w:t xml:space="preserve">(с учетом изменений и дополнений) </w:t>
      </w:r>
      <w:r>
        <w:rPr>
          <w:bCs/>
          <w:color w:val="000000"/>
          <w:sz w:val="28"/>
          <w:szCs w:val="28"/>
          <w:shd w:fill="auto" w:val="clear"/>
        </w:rPr>
        <w:t>в 2024 году проведена оценка налоговых расходов по земельному налогу и по налогу на имущество физических лиц, установленных представительным органом муниципального образования, за 2023 год.</w:t>
      </w:r>
    </w:p>
    <w:p>
      <w:pPr>
        <w:pStyle w:val="NormalWeb"/>
        <w:shd w:val="clear" w:color="auto" w:fill="FFFFFF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bCs/>
          <w:color w:val="000000"/>
          <w:sz w:val="28"/>
          <w:szCs w:val="28"/>
          <w:shd w:fill="auto" w:val="clear"/>
        </w:rPr>
        <w:t xml:space="preserve">В  результате предоставления налоговых льгот, устанавливаемых органами местного самоуправления прогнозируется улучшение положения социально-незащищенных категорий граждан, устранение встречных финансовых потоков и оптимизация бюджетных расходов по  бюджетным учреждениям культуры, физкультуры и спорта, образования и органов местного самоуправления,  финансируемых за счет средств местного бюджета, а также стимулирование реализации инвестиционных проектов и инвестиционной деятельности и привлечения инвестиций в экономику Анжеро-Судженского городского округа. </w:t>
      </w:r>
    </w:p>
    <w:p>
      <w:pPr>
        <w:pStyle w:val="41"/>
        <w:shd w:val="clear" w:color="auto" w:fill="auto"/>
        <w:spacing w:before="0" w:after="0"/>
        <w:ind w:firstLine="567"/>
        <w:jc w:val="both"/>
        <w:rPr/>
      </w:pPr>
      <w:r>
        <w:rPr>
          <w:rFonts w:eastAsia="Calibri"/>
          <w:bCs/>
          <w:iCs/>
          <w:color w:val="000000"/>
          <w:spacing w:val="0"/>
          <w:sz w:val="28"/>
          <w:szCs w:val="28"/>
          <w:shd w:fill="auto" w:val="clear"/>
          <w:lang w:eastAsia="ru-RU"/>
        </w:rPr>
        <w:t xml:space="preserve"> </w:t>
      </w:r>
      <w:r>
        <w:rPr>
          <w:rFonts w:eastAsia="Calibri"/>
          <w:bCs/>
          <w:iCs/>
          <w:color w:val="000000"/>
          <w:spacing w:val="0"/>
          <w:sz w:val="28"/>
          <w:szCs w:val="28"/>
          <w:shd w:fill="auto" w:val="clear"/>
          <w:lang w:eastAsia="ru-RU"/>
        </w:rPr>
        <w:t>Реализация представления налоговых льгот в рамках муниципальной программы представлена льготами по налогу на землю для органов местного самоуправления и муниципальных учреждений, финансируемых из местного бюджета, они относятся к т</w:t>
      </w:r>
      <w:r>
        <w:rPr>
          <w:rStyle w:val="Exact"/>
          <w:color w:val="000000"/>
          <w:spacing w:val="0"/>
          <w:sz w:val="28"/>
          <w:szCs w:val="28"/>
          <w:shd w:fill="auto" w:val="clear"/>
          <w:lang w:eastAsia="ru-RU"/>
        </w:rPr>
        <w:t xml:space="preserve">ехническим налоговым расходам. Объем технических налоговых расходов, представленных в 2023 году, составил 36,0 млн рублей. За 2023 год налоговой льготой воспользовались 65 муниципальных учреждений и 1 орган местного самоуправления. </w:t>
      </w:r>
      <w:r>
        <w:rPr>
          <w:rFonts w:eastAsia="Calibri"/>
          <w:bCs/>
          <w:iCs/>
          <w:color w:val="000000"/>
          <w:spacing w:val="0"/>
          <w:sz w:val="28"/>
          <w:szCs w:val="28"/>
          <w:shd w:fill="auto" w:val="clear"/>
          <w:lang w:eastAsia="ru-RU"/>
        </w:rPr>
        <w:t xml:space="preserve">Технические налоговые расходы, установленные в целях устранения (уменьшения) встречных финансовых потоков и оптимизации бюджетных расходов, признаны результативными, так как не требуется дополнительного финансирования из местного бюджета (отсутствует факт начисления налогов и соответствующее финансирование). Все технические налоговые расходы признаны за 2023 год эффективными и предложены к сохранению. </w:t>
      </w:r>
    </w:p>
    <w:p>
      <w:pPr>
        <w:pStyle w:val="Normal"/>
        <w:widowControl w:val="false"/>
        <w:jc w:val="both"/>
        <w:rPr/>
      </w:pPr>
      <w:r>
        <w:rPr>
          <w:rStyle w:val="12"/>
          <w:rFonts w:eastAsia="Calibri"/>
          <w:iCs/>
          <w:color w:val="000000"/>
          <w:sz w:val="28"/>
          <w:szCs w:val="28"/>
          <w:shd w:fill="auto" w:val="clear"/>
        </w:rPr>
        <w:tab/>
        <w:t>В соответствии с постановлением администрации Анжеро-Судженского городского округа от 01.12.2023 № 1099 «Об утверждении Порядка проведения оценки качества финансового менеджмента, осуществляемого главными администраторами средств  бюджета муниципального образования «Анжеро-Судженский городской округ» ежегодно проводится оценка качества деятельности главных распорядителей бюджетных средств.</w:t>
      </w:r>
    </w:p>
    <w:p>
      <w:pPr>
        <w:pStyle w:val="ConsPlusNormal1"/>
        <w:ind w:firstLine="540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 xml:space="preserve">Оценка качества финансового менеджмента производится по следующим направлениям: качество управления расходами бюджета; качество управления доходами бюджета; качество ведения учета и составления бюджетной отчетности; качество организации и осуществления внутреннего финансового аудита; качество управления активами; качество осуществления закупок товаров, работ и услуг для обеспечения муниципальных нужд. </w:t>
      </w:r>
      <w:r>
        <w:rPr>
          <w:rStyle w:val="12"/>
          <w:rFonts w:eastAsia="Calibri" w:cs="Times New Roman" w:ascii="Times New Roman" w:hAnsi="Times New Roman"/>
          <w:iCs/>
          <w:color w:val="000000"/>
          <w:sz w:val="28"/>
          <w:szCs w:val="28"/>
          <w:shd w:fill="auto" w:val="clear"/>
        </w:rPr>
        <w:t xml:space="preserve">Результатом оценки является присвоение главным администраторам средств местного бюджета итоговой оценки качества финансового менеджмента. </w:t>
      </w:r>
    </w:p>
    <w:p>
      <w:pPr>
        <w:pStyle w:val="ConsPlusNormal1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В рамках мероприятий по повышению открытости бюджетных данных обеспечена ежегодная подготовка и публикация «Бюджета для граждан» в простой и доступной для понимания форме на официальном сайте администрации Анжеро-Судженского городского округа, также ежемесячно и ежеквартально пополняется информация об исполнении местного бюджета.</w:t>
      </w:r>
    </w:p>
    <w:p>
      <w:pPr>
        <w:pStyle w:val="ConsPlusNormal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Несмотря на проведенную работу по реформированию бюджетной сферы, сохранился ряд существенных недостатков и нерешенных проблем:</w:t>
      </w:r>
    </w:p>
    <w:p>
      <w:pPr>
        <w:pStyle w:val="ConsPlusNormal1"/>
        <w:widowControl/>
        <w:ind w:hanging="0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ab/>
        <w:t xml:space="preserve">- не все инструменты, влияющие на качественное улучшение управления муниципальными финансами, работают в полную силу (недостаточно используется реестр расходных обязательств, формальными остаются подходы к расчетам потребностей в бюджетных ассигнованиях на выполнение муниципальных заданий и др.); </w:t>
      </w:r>
    </w:p>
    <w:p>
      <w:pPr>
        <w:pStyle w:val="ConsPlusNormal1"/>
        <w:widowControl/>
        <w:ind w:hanging="0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ab/>
        <w:t>- сохраняются условия и стимулы для неоправданного увеличения бюджетных расходов, в то же время динамика налоговых доходов муниципалитета снижается;</w:t>
      </w:r>
    </w:p>
    <w:p>
      <w:pPr>
        <w:pStyle w:val="ConsPlusNormal1"/>
        <w:widowControl/>
        <w:ind w:hanging="0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ab/>
        <w:t>- не созданы надлежащие условия для мотивации органов местного самоуправления, а также муниципальных учреждений к повышению эффективности бюджетных расходов и деятельности в целом;</w:t>
      </w:r>
    </w:p>
    <w:p>
      <w:pPr>
        <w:pStyle w:val="ConsPlusNormal1"/>
        <w:widowControl/>
        <w:ind w:hanging="0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ab/>
        <w:t>- тенденция роста муниципального внутреннего долга, связанная с отсутствием необходимого объема собственных доходов;</w:t>
      </w:r>
    </w:p>
    <w:p>
      <w:pPr>
        <w:pStyle w:val="ConsPlusNormal1"/>
        <w:widowControl/>
        <w:ind w:hanging="0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ab/>
        <w:t>- нуждается в дальнейшем реформировании система муниципального финансового контроля, с перемещением вектора контроля с расходования финансовых ресурсов на контроль «результатов деятельности».</w:t>
      </w:r>
    </w:p>
    <w:p>
      <w:pPr>
        <w:pStyle w:val="ConsPlusNormal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 xml:space="preserve">Обеспечение долгосрочной сбалансированности, устойчивости и реалистичности бюджета, повышение эффективности распределения бюджетных средств необходимое условие   для устойчивого экономического роста, улучшения инвестиционного климата, повышения конкурентоспособности субъектов экономики, роста уровня и качества жизни населения, для тесной увязки стратегических приоритетов развития отраслей с бюджетными ассигнованиями. Решение проблемных вопросов возможно при принятии верных и своевременных государственных мер в области экономики и финансов.   </w:t>
      </w:r>
    </w:p>
    <w:p>
      <w:pPr>
        <w:pStyle w:val="A0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color w:val="000000"/>
          <w:sz w:val="28"/>
          <w:szCs w:val="28"/>
          <w:shd w:fill="auto" w:val="clear"/>
        </w:rPr>
        <w:t xml:space="preserve">Муниципальная программа «Управление муниципальными финансами  Анжеро-Судженского городского округа» (далее — настоящая муниципальная программа) ориентирована на создание общих условий и механизмов их реализации для всех участников бюджетного процесса, в том числе реализующих другие муниципальные программы. 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color w:val="000000"/>
          <w:sz w:val="28"/>
          <w:szCs w:val="28"/>
          <w:shd w:fill="auto" w:val="clear"/>
        </w:rPr>
        <w:t>Организация выполнения мероприятий, по вопросам, отнесенным к компетенции финансового управления администрации Анжеро-Судженского городского округа, будет осуществляться в рамках настоящей муниципальной программы.</w:t>
      </w:r>
    </w:p>
    <w:p>
      <w:pPr>
        <w:pStyle w:val="Normal"/>
        <w:widowControl w:val="fals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color w:val="000000"/>
          <w:sz w:val="28"/>
          <w:szCs w:val="28"/>
          <w:shd w:fill="auto" w:val="clear"/>
        </w:rPr>
        <w:t>Решение задач по управлению муниципальными финансами Анжеро-Судженского городского округа осуществляется с учетом ежегодных бюджетных посланий Президента Российской Федерации и с настоящей муниципальной программой, обеспечивающей наибольшую результативность этой работы и вывод основных ее показателей на новый более качественный уровень.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color w:val="000000"/>
          <w:sz w:val="28"/>
          <w:szCs w:val="28"/>
          <w:shd w:fill="auto" w:val="clear"/>
        </w:rPr>
        <w:t>В настоящей муниципальной программе определены следующие принципиальные тенденции: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color w:val="000000"/>
          <w:sz w:val="28"/>
          <w:szCs w:val="28"/>
          <w:shd w:fill="auto" w:val="clear"/>
        </w:rPr>
        <w:tab/>
        <w:t>- сбалансированность и устойчивость бюджетной системы;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color w:val="000000"/>
          <w:sz w:val="28"/>
          <w:szCs w:val="28"/>
          <w:shd w:fill="auto" w:val="clear"/>
        </w:rPr>
        <w:tab/>
        <w:t>- сохранение объема муниципального долга на экономически безопасном уровне и создание условий для минимизации рисков роста муниципального долга;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color w:val="000000"/>
          <w:sz w:val="28"/>
          <w:szCs w:val="28"/>
          <w:shd w:fill="auto" w:val="clear"/>
        </w:rPr>
        <w:tab/>
        <w:t>- обеспечение достаточной гибкости предельных объемов и структуры бюджетных расходов, в том числе наличие нераспределенных ресурсов на будущие периоды и критериев для их перераспределения в соответствии с уточнением приоритетных задач, либо сокращения (оптимизации) при неблагоприятной динамике бюджетных доходов;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color w:val="000000"/>
          <w:sz w:val="28"/>
          <w:szCs w:val="28"/>
          <w:shd w:fill="auto" w:val="clear"/>
        </w:rPr>
        <w:tab/>
        <w:t>- управление финансами с помощью регулярного мониторинга исполнения местного бюджета, анализа и оценки рисков для бюджетной системы и их использование в бюджетном планировании.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color w:val="000000"/>
          <w:sz w:val="28"/>
          <w:szCs w:val="28"/>
          <w:shd w:fill="auto" w:val="clear"/>
        </w:rPr>
        <w:t>Муниципальные программы и непрограммные мероприятия должны полностью обеспечить решение всех основных задач, стоящих перед органами местного самоуправления, по решению вопросов местного значения, определенных Федеральным законом от 06.10.2003 № 131-ФЗ «Об общих принципах организации местного самоуправления в Российской Федерации».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color w:val="000000"/>
          <w:sz w:val="28"/>
          <w:szCs w:val="28"/>
          <w:shd w:fill="auto" w:val="clear"/>
        </w:rPr>
        <w:t>Реализация программно-целевого принципа планирования местного  бюджета  позволило перейти к систематическому анализу эффективности его расходов для достижения поставленных целей.</w:t>
      </w:r>
    </w:p>
    <w:p>
      <w:pPr>
        <w:pStyle w:val="ConsPlusNormal1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Решение задач по управлению муниципальными финансами Анжеро-Судженского городского округа осуществляется с учетом настоящей муниципальной программы, обеспечивающей наибольшую результативность этой работы и вывод основных ее показателей на новый, более качественный уровень.</w:t>
      </w:r>
    </w:p>
    <w:p>
      <w:pPr>
        <w:pStyle w:val="ConsPlusNormal1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Настоящая муниципальная программа относится к категории «обеспечивающих» программ, то есть ориентирована (через развитие правового регулирования в вопросах осуществления бюджетной, налоговой, денежно-кредитной политики городского округа) на создание общих условий и механизмов их реализации для всех участников бюджетного процесса, в том числе реализующих другие муниципальные программы.</w:t>
      </w:r>
    </w:p>
    <w:p>
      <w:pPr>
        <w:pStyle w:val="ConsPlusNormal1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Организация выполнения мероприятий по вопросам, отнесенным к компетенции финансового управления администрации Анжеро-Судженского городского округа, осуществляется в рамках настоящей муниципальной программы.</w:t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rFonts w:ascii="Times New Roman" w:hAnsi="Times New Roman"/>
          <w:color w:val="000000"/>
          <w:sz w:val="28"/>
          <w:szCs w:val="28"/>
          <w:highlight w:val="none"/>
          <w:shd w:fill="auto" w:val="clear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rFonts w:ascii="Times New Roman" w:hAnsi="Times New Roman"/>
          <w:sz w:val="28"/>
          <w:szCs w:val="28"/>
          <w:highlight w:val="none"/>
          <w:shd w:fill="auto" w:val="clear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2. Описание приоритетов и целей муниципальной политики</w:t>
      </w:r>
    </w:p>
    <w:p>
      <w:pPr>
        <w:pStyle w:val="ConsPlusTitle"/>
        <w:jc w:val="center"/>
        <w:rPr>
          <w:rFonts w:ascii="Times New Roman" w:hAnsi="Times New Roman"/>
          <w:sz w:val="28"/>
          <w:szCs w:val="28"/>
          <w:highlight w:val="none"/>
          <w:shd w:fill="auto" w:val="clear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в сфере реализации муниципальной программы</w:t>
      </w:r>
    </w:p>
    <w:p>
      <w:pPr>
        <w:pStyle w:val="ConsPlusNormal1"/>
        <w:jc w:val="both"/>
        <w:rPr>
          <w:rFonts w:ascii="Times New Roman" w:hAnsi="Times New Roman"/>
          <w:color w:val="000000"/>
          <w:sz w:val="28"/>
          <w:szCs w:val="28"/>
          <w:highlight w:val="none"/>
          <w:shd w:fill="auto" w:val="clear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</w:r>
    </w:p>
    <w:p>
      <w:pPr>
        <w:pStyle w:val="ConsPlusNormal1"/>
        <w:spacing w:before="0" w:after="0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Приоритеты и цели политики в сфере управления муниципальными финансами Анжеро-Судженского городского округа определены с учетом стратегии социально-экономического развития муниципального образования «Анжеро-Судженский городской округ» на период до 2035 года, утвержденной решением Совета народных депутатов Анжеро-Судженского городского округа от 29.11.2018 № 160 «Об утверждении Стратегии социально-экономического развития муниципального образования «Анжеро-Судженский городской округ» на период до 2035 года», а также бюджетного прогноза Анжеро-Судженского городского округа и основных направлений долговой политики Анжеро-Судженского городского округа.</w:t>
      </w:r>
    </w:p>
    <w:p>
      <w:pPr>
        <w:pStyle w:val="ConsPlusNormal1"/>
        <w:spacing w:before="0" w:after="0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Ключевые ориентиры развития в рамках настоящей муниципальной программы:</w:t>
      </w:r>
    </w:p>
    <w:p>
      <w:pPr>
        <w:pStyle w:val="ConsPlusNormal1"/>
        <w:spacing w:before="0" w:after="0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- создание условий для обеспечения сбалансированности бюджетной системы в долгосрочном периоде;</w:t>
      </w:r>
    </w:p>
    <w:p>
      <w:pPr>
        <w:pStyle w:val="ConsPlusNormal1"/>
        <w:spacing w:before="0" w:after="0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- безусловное исполнение социальных обязательств перед гражданами и реализация национальных целей стратегического развития;</w:t>
      </w:r>
    </w:p>
    <w:p>
      <w:pPr>
        <w:pStyle w:val="ConsPlusNormal1"/>
        <w:spacing w:before="0" w:after="0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- проведение взвешенной долговой политики;</w:t>
      </w:r>
    </w:p>
    <w:p>
      <w:pPr>
        <w:pStyle w:val="ConsPlusNormal1"/>
        <w:spacing w:before="0" w:after="0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- увязка расходов бюджета с целями представления финансирования муниципальных программ;</w:t>
      </w:r>
    </w:p>
    <w:p>
      <w:pPr>
        <w:pStyle w:val="ConsPlusNormal1"/>
        <w:spacing w:before="0" w:after="0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- повышение качества управления муниципальными финансами;</w:t>
      </w:r>
    </w:p>
    <w:p>
      <w:pPr>
        <w:pStyle w:val="ConsPlusNormal1"/>
        <w:spacing w:before="0" w:after="0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- вовлечение жителей в определение приоритетов в расходовании бюджетных средств;</w:t>
      </w:r>
    </w:p>
    <w:p>
      <w:pPr>
        <w:pStyle w:val="ConsPlusNormal1"/>
        <w:spacing w:before="0" w:after="0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- обеспечение функционирования системы повышения финансовой грамотности населения.</w:t>
      </w:r>
    </w:p>
    <w:p>
      <w:pPr>
        <w:pStyle w:val="ConsPlusNormal1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Реализация настоящей муниципальной программы оказывает влияние на достижение национальной цели развития Российской Федерации  «</w:t>
      </w:r>
      <w:bookmarkStart w:id="9" w:name="__DdeLink__22983_3766325032"/>
      <w:r>
        <w:rPr>
          <w:rFonts w:ascii="Times New Roman" w:hAnsi="Times New Roman"/>
          <w:color w:val="000000"/>
          <w:sz w:val="28"/>
          <w:szCs w:val="28"/>
          <w:shd w:fill="auto" w:val="clear"/>
        </w:rPr>
        <w:t>Устойчивая и динамичная экономика</w:t>
      </w:r>
      <w:bookmarkEnd w:id="9"/>
      <w:r>
        <w:rPr>
          <w:rFonts w:ascii="Times New Roman" w:hAnsi="Times New Roman"/>
          <w:color w:val="000000"/>
          <w:sz w:val="28"/>
          <w:szCs w:val="28"/>
          <w:shd w:fill="auto" w:val="clear"/>
        </w:rPr>
        <w:t>», определенной Указом Президента Российской Федерации от 07.05.2024 № 309 «О национальных целях развития Российской Федерации на период до 2030 года и на перспективу до 2036 года», в том числе на следующие целевые показатели и задачи, характеризующие достижение национальной цели:</w:t>
      </w:r>
    </w:p>
    <w:p>
      <w:pPr>
        <w:pStyle w:val="ConsPlusNormal1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fill="auto" w:val="clear"/>
        </w:rPr>
        <w:t>- обеспечение темпа роста валового внутреннего продукта страны выше среднемирового и выход не позднее 2030 года на четвертое место в мире по объему валового внутреннего продукта, рассчитанного по паритету покупательной способности, в том числе за счет роста производительности труда, при сохранении макроэкономической стабильности, низкого уровня безработицы и снижения уровня структурной безработицы;</w:t>
      </w:r>
    </w:p>
    <w:p>
      <w:pPr>
        <w:pStyle w:val="ConsPlusNormal1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- обеспечение устойчивого роста доходов населения и уровня пенсионного обеспечения не ниже уровня инфляции.</w:t>
      </w:r>
    </w:p>
    <w:p>
      <w:pPr>
        <w:pStyle w:val="ConsPlusNormal1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В рамках достижения поставленной национальной цели настоящая муниципальная программа реализуется путем:</w:t>
      </w:r>
    </w:p>
    <w:p>
      <w:pPr>
        <w:pStyle w:val="ConsPlusNormal1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- содействия обеспечению стабильных экономических условий за счет соблюдения долгосрочных принципов устойчивости и сбалансированности бюджетной системы;</w:t>
      </w:r>
    </w:p>
    <w:p>
      <w:pPr>
        <w:pStyle w:val="ConsPlusNormal1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- сохранения соотношения муниципального долга Анжеро-Судженского городского округа по отношению к общему годовому объему доходов бюджета без учета объема безвозмездных поступлений на уровне, не превышающем 100 процентов;</w:t>
      </w:r>
    </w:p>
    <w:p>
      <w:pPr>
        <w:pStyle w:val="ConsPlusNormal1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- повышения качества управления муниципальными финансами Анжеро-Судженского городского округа.</w:t>
      </w:r>
    </w:p>
    <w:p>
      <w:pPr>
        <w:pStyle w:val="ConsPlusNormal1"/>
        <w:jc w:val="both"/>
        <w:rPr>
          <w:rFonts w:ascii="Times New Roman" w:hAnsi="Times New Roman"/>
          <w:color w:val="000000"/>
          <w:sz w:val="28"/>
          <w:szCs w:val="28"/>
          <w:highlight w:val="none"/>
          <w:shd w:fill="auto" w:val="clear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rFonts w:ascii="Times New Roman" w:hAnsi="Times New Roman"/>
          <w:color w:val="000000"/>
          <w:sz w:val="28"/>
          <w:szCs w:val="28"/>
          <w:highlight w:val="none"/>
          <w:shd w:fill="auto" w:val="clear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3. Сведения о взаимосвязи со стратегическими приоритетами,</w:t>
      </w:r>
    </w:p>
    <w:p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целями и показателями государственных программ</w:t>
      </w:r>
    </w:p>
    <w:p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Российской Федерации, Кемеровской области - Кузбасса</w:t>
      </w:r>
    </w:p>
    <w:p>
      <w:pPr>
        <w:pStyle w:val="ConsPlusNormal1"/>
        <w:jc w:val="both"/>
        <w:rPr>
          <w:rFonts w:ascii="Times New Roman" w:hAnsi="Times New Roman"/>
          <w:color w:val="000000"/>
          <w:sz w:val="28"/>
          <w:szCs w:val="28"/>
          <w:highlight w:val="none"/>
          <w:shd w:fill="auto" w:val="clear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</w:r>
    </w:p>
    <w:p>
      <w:pPr>
        <w:pStyle w:val="ConsPlusNormal1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Настоящая муниципальная программа не имеет связи с государственной программой Российской Федерации, с государственной программой Кемеровской области - Кузбасса.</w:t>
      </w:r>
    </w:p>
    <w:p>
      <w:pPr>
        <w:pStyle w:val="ConsPlusNormal1"/>
        <w:jc w:val="both"/>
        <w:rPr>
          <w:rFonts w:ascii="Times New Roman" w:hAnsi="Times New Roman"/>
          <w:color w:val="000000"/>
          <w:sz w:val="28"/>
          <w:szCs w:val="28"/>
          <w:highlight w:val="none"/>
          <w:shd w:fill="auto" w:val="clear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4. Задачи муниципального управления и способы их</w:t>
      </w:r>
    </w:p>
    <w:p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эффективного решения в сфере реализации муниципальной</w:t>
      </w:r>
    </w:p>
    <w:p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программы</w:t>
      </w:r>
    </w:p>
    <w:p>
      <w:pPr>
        <w:pStyle w:val="Normal"/>
        <w:ind w:left="0" w:right="0" w:firstLine="851"/>
        <w:jc w:val="both"/>
        <w:rPr>
          <w:rFonts w:ascii="Times New Roman" w:hAnsi="Times New Roman" w:cs="PT Astra Serif"/>
          <w:sz w:val="28"/>
          <w:szCs w:val="28"/>
        </w:rPr>
      </w:pPr>
      <w:r>
        <w:rPr>
          <w:rFonts w:cs="PT Astra Serif"/>
          <w:sz w:val="28"/>
          <w:szCs w:val="28"/>
        </w:rPr>
      </w:r>
    </w:p>
    <w:p>
      <w:pPr>
        <w:pStyle w:val="Normal"/>
        <w:ind w:left="0" w:right="0" w:firstLine="851"/>
        <w:jc w:val="both"/>
        <w:rPr>
          <w:rFonts w:ascii="Times New Roman" w:hAnsi="Times New Roman"/>
          <w:sz w:val="28"/>
          <w:szCs w:val="28"/>
          <w:highlight w:val="none"/>
          <w:shd w:fill="auto" w:val="clear"/>
        </w:rPr>
      </w:pPr>
      <w:r>
        <w:rPr>
          <w:rFonts w:cs="PT Astra Serif"/>
          <w:sz w:val="28"/>
          <w:szCs w:val="28"/>
          <w:shd w:fill="auto" w:val="clear"/>
        </w:rPr>
        <w:t xml:space="preserve">Паспорт настоящей муниципальной программы сформирован согласно </w:t>
      </w:r>
      <w:r>
        <w:rPr>
          <w:rFonts w:cs="PT Astra Serif"/>
          <w:b w:val="false"/>
          <w:bCs w:val="false"/>
          <w:sz w:val="28"/>
          <w:szCs w:val="28"/>
          <w:shd w:fill="auto" w:val="clear"/>
        </w:rPr>
        <w:t>приложению 2</w:t>
      </w:r>
      <w:r>
        <w:rPr>
          <w:rFonts w:cs="PT Astra Serif"/>
          <w:sz w:val="28"/>
          <w:szCs w:val="28"/>
          <w:shd w:fill="auto" w:val="clear"/>
        </w:rPr>
        <w:t xml:space="preserve"> к настоящей муниципальной программе. В паспорте сформулированы основные цели, установленные настоящей программой. В рамках каждой установленной цели предусмотрена реализация процессных мероприятий, увязывающих цели представления с окончательным показателем эффективности результативности запланированных мероприятий. Настоящей программой предусмотрены два процессных мероприятия:</w:t>
      </w:r>
    </w:p>
    <w:p>
      <w:pPr>
        <w:pStyle w:val="Normal"/>
        <w:ind w:left="0" w:right="0" w:firstLine="851"/>
        <w:jc w:val="both"/>
        <w:rPr/>
      </w:pPr>
      <w:r>
        <w:rPr>
          <w:rFonts w:cs="PT Astra Serif"/>
          <w:sz w:val="28"/>
          <w:szCs w:val="28"/>
          <w:shd w:fill="auto" w:val="clear"/>
        </w:rPr>
        <w:t>- о</w:t>
      </w:r>
      <w:r>
        <w:rPr>
          <w:rFonts w:cs="PT Astra Serif"/>
          <w:color w:val="000000"/>
          <w:sz w:val="28"/>
          <w:szCs w:val="28"/>
          <w:shd w:fill="auto" w:val="clear"/>
        </w:rPr>
        <w:t xml:space="preserve">беспечение сбалансированности, устойчивости бюджетной системы и создание условий для повышения эффективности расходов Анжеро-Судженского городского округа </w:t>
      </w:r>
      <w:bookmarkStart w:id="10" w:name="__DdeLink__6266_857802040"/>
      <w:r>
        <w:rPr>
          <w:rFonts w:cs="PT Astra Serif"/>
          <w:color w:val="000000"/>
          <w:sz w:val="28"/>
          <w:szCs w:val="28"/>
          <w:shd w:fill="auto" w:val="clear"/>
        </w:rPr>
        <w:t>(</w:t>
      </w:r>
      <w:hyperlink w:anchor="P1133">
        <w:r>
          <w:rPr>
            <w:rFonts w:cs="PT Astra Serif"/>
            <w:color w:val="000000"/>
            <w:sz w:val="28"/>
            <w:szCs w:val="28"/>
            <w:shd w:fill="auto" w:val="clear"/>
          </w:rPr>
          <w:t xml:space="preserve">приложение  </w:t>
        </w:r>
      </w:hyperlink>
      <w:r>
        <w:rPr>
          <w:rFonts w:cs="PT Astra Serif"/>
          <w:color w:val="000000"/>
          <w:sz w:val="28"/>
          <w:szCs w:val="28"/>
          <w:shd w:fill="auto" w:val="clear"/>
        </w:rPr>
        <w:t>3 к настоящей муниципальной программе)</w:t>
      </w:r>
      <w:bookmarkEnd w:id="10"/>
    </w:p>
    <w:p>
      <w:pPr>
        <w:pStyle w:val="Normal"/>
        <w:ind w:left="0" w:right="0" w:firstLine="851"/>
        <w:jc w:val="both"/>
        <w:rPr/>
      </w:pPr>
      <w:r>
        <w:rPr>
          <w:rFonts w:cs="PT Astra Serif"/>
          <w:sz w:val="28"/>
          <w:szCs w:val="28"/>
          <w:shd w:fill="auto" w:val="clear"/>
        </w:rPr>
        <w:t>-  у</w:t>
      </w:r>
      <w:r>
        <w:rPr>
          <w:rFonts w:cs="PT Astra Serif"/>
          <w:color w:val="000000"/>
          <w:sz w:val="28"/>
          <w:szCs w:val="28"/>
          <w:shd w:fill="auto" w:val="clear"/>
        </w:rPr>
        <w:t>правление муниципальным долгом (</w:t>
      </w:r>
      <w:hyperlink w:anchor="P1133">
        <w:r>
          <w:rPr>
            <w:rFonts w:cs="PT Astra Serif"/>
            <w:color w:val="000000"/>
            <w:sz w:val="28"/>
            <w:szCs w:val="28"/>
            <w:shd w:fill="auto" w:val="clear"/>
          </w:rPr>
          <w:t>приложение</w:t>
        </w:r>
        <w:bookmarkStart w:id="11" w:name="__DdeLink__6270_857802040"/>
        <w:r>
          <w:rPr>
            <w:rFonts w:cs="PT Astra Serif"/>
            <w:color w:val="000000"/>
            <w:sz w:val="28"/>
            <w:szCs w:val="28"/>
            <w:shd w:fill="auto" w:val="clear"/>
          </w:rPr>
          <w:t xml:space="preserve"> </w:t>
        </w:r>
      </w:hyperlink>
      <w:r>
        <w:rPr>
          <w:rFonts w:cs="PT Astra Serif"/>
          <w:color w:val="000000"/>
          <w:sz w:val="28"/>
          <w:szCs w:val="28"/>
          <w:shd w:fill="auto" w:val="clear"/>
        </w:rPr>
        <w:t xml:space="preserve">4 к настоящей муниципальной программе). </w:t>
      </w:r>
      <w:bookmarkEnd w:id="11"/>
    </w:p>
    <w:p>
      <w:pPr>
        <w:pStyle w:val="Normal"/>
        <w:ind w:left="0" w:right="0" w:firstLine="851"/>
        <w:jc w:val="both"/>
        <w:rPr>
          <w:rFonts w:ascii="Times New Roman" w:hAnsi="Times New Roman"/>
          <w:sz w:val="18"/>
          <w:szCs w:val="18"/>
        </w:rPr>
      </w:pPr>
      <w:r>
        <w:rPr>
          <w:rFonts w:cs="PT Astra Serif"/>
          <w:sz w:val="18"/>
          <w:szCs w:val="18"/>
        </w:rPr>
        <w:t xml:space="preserve">  </w:t>
      </w:r>
    </w:p>
    <w:p>
      <w:pPr>
        <w:pStyle w:val="ConsPlusNormal1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  <w:shd w:fill="auto" w:val="clear"/>
        </w:rPr>
        <w:t>Цель 1</w:t>
      </w:r>
      <w:r>
        <w:rPr>
          <w:rFonts w:ascii="Times New Roman" w:hAnsi="Times New Roman"/>
          <w:color w:val="000000"/>
          <w:sz w:val="28"/>
          <w:szCs w:val="28"/>
          <w:shd w:fill="auto" w:val="clear"/>
        </w:rPr>
        <w:t xml:space="preserve"> «</w:t>
      </w:r>
      <w:bookmarkStart w:id="12" w:name="__DdeLink__5529_857802040"/>
      <w:r>
        <w:rPr>
          <w:rFonts w:ascii="Times New Roman" w:hAnsi="Times New Roman"/>
          <w:color w:val="000000"/>
          <w:sz w:val="28"/>
          <w:szCs w:val="28"/>
          <w:shd w:fill="auto" w:val="clear"/>
        </w:rPr>
        <w:t>Обеспечение стабильных экономических условий за счет соблюдения долгосрочных принципов устойчивости и сбалансированности бюджетной системы</w:t>
      </w:r>
      <w:bookmarkEnd w:id="12"/>
      <w:r>
        <w:rPr>
          <w:rFonts w:ascii="Times New Roman" w:hAnsi="Times New Roman"/>
          <w:color w:val="000000"/>
          <w:sz w:val="28"/>
          <w:szCs w:val="28"/>
          <w:shd w:fill="auto" w:val="clear"/>
        </w:rPr>
        <w:t>».</w:t>
      </w:r>
    </w:p>
    <w:p>
      <w:pPr>
        <w:pStyle w:val="ConsPlusNormal1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К основным направлениям деятельности в сфере реализации цели 1 по обеспечению стабильных экономических условий за счет соблюдения долгосрочных принципов устойчивости и сбалансированности бюджетной системы относятся:</w:t>
      </w:r>
    </w:p>
    <w:p>
      <w:pPr>
        <w:pStyle w:val="ConsPlusNormal1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 xml:space="preserve">- обеспечение формирования местного бюджета на очередной финансовый год и плановый период, исходя из необходимости содействия экономическому росту Анжеро-Судженского городского округа; </w:t>
      </w:r>
    </w:p>
    <w:p>
      <w:pPr>
        <w:pStyle w:val="ConsPlusNormal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- реализация инструментов среднесрочного финансового планирования, отражающих основные направления социально-экономического развития Анжеро-Судженского городского округа в условиях поддержания мер по укреплению финансовой устойчивости местного бюджета;</w:t>
      </w:r>
    </w:p>
    <w:p>
      <w:pPr>
        <w:pStyle w:val="ConsPlusNormal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- координация показателей местного бюджета с документами стратегического планирования, в том числе в рамках бюджетного процесса;</w:t>
      </w:r>
    </w:p>
    <w:p>
      <w:pPr>
        <w:pStyle w:val="ConsPlusNormal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- развитие программно-целевых принципов формирования расходов местного бюджета, распределение средств местного бюджета с учетом бюджетной политики Анжеро-Судженского городского округа;</w:t>
      </w:r>
    </w:p>
    <w:p>
      <w:pPr>
        <w:pStyle w:val="ConsPlusNormal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- развитие признаков устойчивости местного бюджета, таких как: бюджетная самостоятельность, сбалансированность бюджета, платежеспособность, эффективное расходование бюджетных средств;</w:t>
      </w:r>
    </w:p>
    <w:p>
      <w:pPr>
        <w:pStyle w:val="ConsPlusNormal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- повышение эффективности мер социальной поддержки населения;</w:t>
      </w:r>
    </w:p>
    <w:p>
      <w:pPr>
        <w:pStyle w:val="ConsPlusNormal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- проведение оценки эффективности налоговых расходов с целью выявления неэффективных налоговых льгот;</w:t>
      </w:r>
    </w:p>
    <w:p>
      <w:pPr>
        <w:pStyle w:val="ConsPlusNormal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- отслеживание возможности образования просроченной кредиторской задолженности;</w:t>
      </w:r>
    </w:p>
    <w:p>
      <w:pPr>
        <w:pStyle w:val="Normal"/>
        <w:widowControl w:val="false"/>
        <w:spacing w:lineRule="atLeast" w:line="120"/>
        <w:jc w:val="both"/>
        <w:rPr>
          <w:rFonts w:ascii="Times New Roman" w:hAnsi="Times New Roman"/>
          <w:sz w:val="28"/>
          <w:szCs w:val="28"/>
        </w:rPr>
      </w:pPr>
      <w:r>
        <w:rPr>
          <w:color w:val="000000"/>
          <w:sz w:val="28"/>
          <w:szCs w:val="28"/>
          <w:shd w:fill="auto" w:val="clear"/>
        </w:rPr>
        <w:tab/>
        <w:t>- о</w:t>
      </w:r>
      <w:bookmarkStart w:id="13" w:name="__DdeLink__16954_991871113_Копия_1"/>
      <w:r>
        <w:rPr>
          <w:color w:val="000000"/>
          <w:sz w:val="28"/>
          <w:szCs w:val="28"/>
          <w:shd w:fill="auto" w:val="clear"/>
        </w:rPr>
        <w:t xml:space="preserve">беспечение  деятельности  </w:t>
      </w:r>
      <w:bookmarkStart w:id="14" w:name="__DdeLink__16939_991871113_Копия_2"/>
      <w:r>
        <w:rPr>
          <w:color w:val="000000"/>
          <w:sz w:val="28"/>
          <w:szCs w:val="28"/>
          <w:shd w:fill="auto" w:val="clear"/>
        </w:rPr>
        <w:t>финансового управления администрации Анжеро-Судженского городского округа</w:t>
      </w:r>
      <w:bookmarkEnd w:id="13"/>
      <w:bookmarkEnd w:id="14"/>
      <w:r>
        <w:rPr>
          <w:color w:val="000000"/>
          <w:sz w:val="28"/>
          <w:szCs w:val="28"/>
          <w:shd w:fill="auto" w:val="clear"/>
        </w:rPr>
        <w:t>.</w:t>
      </w:r>
    </w:p>
    <w:p>
      <w:pPr>
        <w:pStyle w:val="ConsPlusNormal1"/>
        <w:ind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ab/>
        <w:t>В рамках реализации цели 1 запланированы следующие мероприятия:</w:t>
      </w:r>
    </w:p>
    <w:p>
      <w:pPr>
        <w:pStyle w:val="Normal"/>
        <w:widowControl w:val="false"/>
        <w:spacing w:lineRule="atLeast" w:line="120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/>
          <w:color w:val="000000"/>
          <w:sz w:val="28"/>
          <w:szCs w:val="28"/>
          <w:shd w:fill="auto" w:val="clear"/>
        </w:rPr>
        <w:tab/>
        <w:t>- повышение надежности экономических прогнозов и консервативности предпосылок, положенных в основу бюджетного планирования в увязке с основными стратегическими направлениями развития города;</w:t>
      </w:r>
    </w:p>
    <w:p>
      <w:pPr>
        <w:pStyle w:val="Normal"/>
        <w:widowControl w:val="false"/>
        <w:spacing w:lineRule="atLeast" w:line="120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/>
          <w:color w:val="000000"/>
          <w:sz w:val="28"/>
          <w:szCs w:val="28"/>
          <w:shd w:fill="auto" w:val="clear"/>
        </w:rPr>
        <w:tab/>
        <w:t>- разработка и реализация мероприятий по повышению поступлений налоговых и неналоговых доходов, сокращению недоимки по уплате налогов, сборов иных обязательных платежей в местный бюджет;</w:t>
      </w:r>
    </w:p>
    <w:p>
      <w:pPr>
        <w:pStyle w:val="Normal"/>
        <w:widowControl w:val="false"/>
        <w:spacing w:lineRule="atLeast" w:line="120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/>
          <w:color w:val="000000"/>
          <w:sz w:val="28"/>
          <w:szCs w:val="28"/>
          <w:shd w:fill="auto" w:val="clear"/>
        </w:rPr>
        <w:tab/>
        <w:t>- ежегодное проведение оценки эффективности налоговых расходов, установленных нормативными правовыми актами Анжеро-Судженского городского округа, с целью выявления неэффективных налоговых расходов;</w:t>
      </w:r>
    </w:p>
    <w:p>
      <w:pPr>
        <w:pStyle w:val="Normal"/>
        <w:widowControl w:val="false"/>
        <w:spacing w:lineRule="atLeast" w:line="120"/>
        <w:jc w:val="both"/>
        <w:rPr>
          <w:rFonts w:ascii="Times New Roman" w:hAnsi="Times New Roman"/>
          <w:sz w:val="28"/>
          <w:szCs w:val="28"/>
          <w:highlight w:val="none"/>
          <w:shd w:fill="auto" w:val="clear"/>
        </w:rPr>
      </w:pPr>
      <w:r>
        <w:rPr>
          <w:rFonts w:eastAsia="Calibri"/>
          <w:color w:val="000000"/>
          <w:sz w:val="28"/>
          <w:szCs w:val="28"/>
          <w:shd w:fill="auto" w:val="clear"/>
        </w:rPr>
        <w:tab/>
        <w:t>- охват муниципальными программами преимущественно всех сфер деятельности органов исполнительной власти и, соответственно, большей части бюджетных ассигнований, других материальных ресурсов, находящихся в управлении;</w:t>
      </w:r>
    </w:p>
    <w:p>
      <w:pPr>
        <w:pStyle w:val="Normal"/>
        <w:widowControl w:val="false"/>
        <w:spacing w:lineRule="atLeast" w:line="120"/>
        <w:jc w:val="both"/>
        <w:rPr/>
      </w:pPr>
      <w:r>
        <w:rPr>
          <w:rFonts w:eastAsia="Calibri"/>
          <w:color w:val="000000"/>
          <w:sz w:val="28"/>
          <w:szCs w:val="28"/>
          <w:shd w:fill="auto" w:val="clear"/>
        </w:rPr>
        <w:tab/>
        <w:t>- в</w:t>
      </w:r>
      <w:bookmarkStart w:id="15" w:name="__DdeLink__9651_4288371289_Копия_1_Копия"/>
      <w:r>
        <w:rPr>
          <w:rFonts w:eastAsia="Calibri" w:cs="Times New Roman"/>
          <w:color w:val="000000"/>
          <w:sz w:val="28"/>
          <w:szCs w:val="28"/>
          <w:shd w:fill="auto" w:val="clear"/>
        </w:rPr>
        <w:t>ыявление резервов и перераспределение бюджетных средств в пользу приоритетных направлений и проектов, прежде всего обеспечивающих решение  поставленных в Указах Президента Российской Федерации от 07.05.2012г., 07.05.2018г. задач, н</w:t>
      </w:r>
      <w:r>
        <w:rPr>
          <w:rStyle w:val="Style21"/>
          <w:rFonts w:eastAsia="Calibri" w:cs="PT Astra Serif"/>
          <w:color w:val="000000"/>
          <w:sz w:val="28"/>
          <w:szCs w:val="28"/>
          <w:shd w:fill="auto" w:val="clear"/>
        </w:rPr>
        <w:t xml:space="preserve">а содействие достижению национальных целей развития, на </w:t>
      </w:r>
      <w:r>
        <w:rPr>
          <w:rFonts w:eastAsia="Calibri" w:cs="Times New Roman"/>
          <w:color w:val="000000"/>
          <w:sz w:val="28"/>
          <w:szCs w:val="28"/>
          <w:shd w:fill="auto" w:val="clear"/>
        </w:rPr>
        <w:t>реализацию основных направлений, определенных Стратегией развития городского округа до 2035 года по улучшению качества жизни населения,   на создание условий для экономического роста</w:t>
      </w:r>
      <w:bookmarkEnd w:id="15"/>
      <w:r>
        <w:rPr>
          <w:rFonts w:eastAsia="Calibri"/>
          <w:color w:val="000000"/>
          <w:sz w:val="28"/>
          <w:szCs w:val="28"/>
          <w:shd w:fill="auto" w:val="clear"/>
        </w:rPr>
        <w:t>;</w:t>
      </w:r>
    </w:p>
    <w:p>
      <w:pPr>
        <w:pStyle w:val="Normal"/>
        <w:widowControl w:val="false"/>
        <w:spacing w:lineRule="atLeast" w:line="120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/>
          <w:color w:val="000000"/>
          <w:sz w:val="28"/>
          <w:szCs w:val="28"/>
          <w:shd w:fill="auto" w:val="clear"/>
        </w:rPr>
        <w:tab/>
        <w:t>- контроль за наличием и состоянием просроченной кредиторской задолженности Анжеро-Судженского городского округа и подведомственных учреждений, принятие мер, способствующих снижению накопленной просроченной задолженности;</w:t>
      </w:r>
    </w:p>
    <w:p>
      <w:pPr>
        <w:pStyle w:val="Normal"/>
        <w:widowControl w:val="false"/>
        <w:spacing w:lineRule="atLeast" w:line="120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/>
          <w:color w:val="000000"/>
          <w:sz w:val="28"/>
          <w:szCs w:val="28"/>
          <w:shd w:fill="auto" w:val="clear"/>
        </w:rPr>
        <w:tab/>
        <w:t>- д</w:t>
      </w:r>
      <w:bookmarkStart w:id="16" w:name="__DdeLink__17016_991871113_Копия_1"/>
      <w:r>
        <w:rPr>
          <w:rFonts w:eastAsia="Calibri"/>
          <w:color w:val="000000"/>
          <w:sz w:val="28"/>
          <w:szCs w:val="28"/>
          <w:shd w:fill="auto" w:val="clear"/>
        </w:rPr>
        <w:t xml:space="preserve">еятельность по управлению муниципальными финансами, по формированию, сопровождению, мониторингу, исполнению местного бюджета  обеспечена </w:t>
      </w:r>
      <w:bookmarkStart w:id="17" w:name="__DdeLink__16998_991871113_Копия_2"/>
      <w:r>
        <w:rPr>
          <w:rFonts w:eastAsia="Calibri"/>
          <w:color w:val="000000"/>
          <w:sz w:val="28"/>
          <w:szCs w:val="28"/>
          <w:shd w:fill="auto" w:val="clear"/>
        </w:rPr>
        <w:t>финансовым управлением администрации Анжеро-Судженского городского округа</w:t>
      </w:r>
      <w:bookmarkEnd w:id="16"/>
      <w:bookmarkEnd w:id="17"/>
      <w:r>
        <w:rPr>
          <w:rFonts w:eastAsia="Calibri"/>
          <w:color w:val="000000"/>
          <w:sz w:val="28"/>
          <w:szCs w:val="28"/>
          <w:shd w:fill="auto" w:val="clear"/>
        </w:rPr>
        <w:t>.</w:t>
        <w:tab/>
      </w:r>
    </w:p>
    <w:p>
      <w:pPr>
        <w:pStyle w:val="Normal"/>
        <w:widowControl w:val="false"/>
        <w:spacing w:lineRule="atLeast" w:line="120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/>
          <w:color w:val="000000"/>
          <w:sz w:val="28"/>
          <w:szCs w:val="28"/>
          <w:shd w:fill="auto" w:val="clear"/>
        </w:rPr>
        <w:tab/>
      </w:r>
      <w:r>
        <w:rPr>
          <w:color w:val="000000"/>
          <w:sz w:val="28"/>
          <w:szCs w:val="28"/>
          <w:shd w:fill="auto" w:val="clear"/>
        </w:rPr>
        <w:t>Ожидаемыми результатами являются:</w:t>
      </w:r>
    </w:p>
    <w:p>
      <w:pPr>
        <w:pStyle w:val="ConsPlusNormal1"/>
        <w:ind w:firstLine="540"/>
        <w:jc w:val="both"/>
        <w:rPr/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 xml:space="preserve">- формирование местного бюджета на очередной финансовый год и плановый период с учетом приоритетов социально-экономического развития и принципов долгосрочной бюджетной устойчивости; </w:t>
      </w:r>
      <w:r>
        <w:rPr>
          <w:rStyle w:val="Style21"/>
          <w:rFonts w:cs="Times New Roman" w:ascii="Times New Roman" w:hAnsi="Times New Roman"/>
          <w:color w:val="000000"/>
          <w:sz w:val="28"/>
          <w:szCs w:val="28"/>
          <w:shd w:fill="auto" w:val="clear"/>
        </w:rPr>
        <w:t xml:space="preserve">обеспечение преемственности курса предыдущего планового периода и ориентировано на обозначенные </w:t>
      </w:r>
      <w:r>
        <w:rPr>
          <w:rStyle w:val="Style21"/>
          <w:rFonts w:cs="PT Astra Serif" w:ascii="Times New Roman" w:hAnsi="Times New Roman"/>
          <w:color w:val="000000"/>
          <w:sz w:val="28"/>
          <w:szCs w:val="28"/>
          <w:shd w:fill="auto" w:val="clear"/>
        </w:rPr>
        <w:t>Президентом России национальные цели развития на ближайшие 6 лет во всех сферах общественной жизни - повышение качества жизни и благосостояния граждан, снижение бедности и неравенства, повышение качества и доступности здравоохранения и образования, создание современной инфраструктуры</w:t>
      </w:r>
      <w:r>
        <w:rPr>
          <w:rStyle w:val="Style21"/>
          <w:rFonts w:cs="Times New Roman" w:ascii="Times New Roman" w:hAnsi="Times New Roman"/>
          <w:color w:val="000000"/>
          <w:sz w:val="28"/>
          <w:szCs w:val="28"/>
          <w:shd w:fill="auto" w:val="clear"/>
        </w:rPr>
        <w:t>,  решение стратегических целей социально-экономического  развития   Анжеро-Судженского городского округа, реализацию основных задач, определенных Стратегией развития Анжеро-Судженского городского округа до 2035 года, улучшение качества жизни населения,   создание  условий для обеспечения позитивных структурных изменений в экономике и социальной сфере,  повышение эффективности использования бюджетных средств и прозрачности управления муниципальными финансами, минимизацию последствий сложной экономической ситуации в стране в связи с применением экономических санкций иностранных государств на отрасли экономики, сектор малого и среднего предпринимательства, рынок труда,</w:t>
      </w:r>
      <w:r>
        <w:rPr>
          <w:rStyle w:val="Style21"/>
          <w:rFonts w:cs="Times New Roman" w:ascii="Times New Roman" w:hAnsi="Times New Roman"/>
          <w:b/>
          <w:color w:val="000000"/>
          <w:sz w:val="28"/>
          <w:szCs w:val="28"/>
          <w:shd w:fill="auto" w:val="clear"/>
        </w:rPr>
        <w:t xml:space="preserve"> </w:t>
      </w:r>
      <w:r>
        <w:rPr>
          <w:rStyle w:val="Style21"/>
          <w:rFonts w:cs="Times New Roman" w:ascii="Times New Roman" w:hAnsi="Times New Roman"/>
          <w:color w:val="000000"/>
          <w:sz w:val="28"/>
          <w:szCs w:val="28"/>
          <w:shd w:fill="auto" w:val="clear"/>
        </w:rPr>
        <w:t>и принятием мер по устранению последствий;</w:t>
      </w:r>
    </w:p>
    <w:p>
      <w:pPr>
        <w:pStyle w:val="ConsPlusNormal1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- сохранение направления финансирования на достижение целеполагания муниципальных программ, на социальную ориентированность, адресность и повышение уровня доходов населения, в том числе за счет предоставления льгот;</w:t>
      </w:r>
    </w:p>
    <w:p>
      <w:pPr>
        <w:pStyle w:val="ConsPlusNormal1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- развитие признаков устойчивости местного бюджета, таких как: бюджетная самостоятельность, сбалансированность бюджета, платежеспособность субъекта публичной власти, эффективное расходование бюджетных средств и управление долговыми обязательствами, качество бюджетного менеджмента;</w:t>
      </w:r>
    </w:p>
    <w:p>
      <w:pPr>
        <w:pStyle w:val="ConsPlusNormal1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- качественное управление муниципальными финансами.</w:t>
      </w:r>
    </w:p>
    <w:p>
      <w:pPr>
        <w:pStyle w:val="ConsPlusNormal1"/>
        <w:ind w:firstLine="540"/>
        <w:jc w:val="both"/>
        <w:rPr>
          <w:rFonts w:ascii="Times New Roman" w:hAnsi="Times New Roman"/>
          <w:b/>
          <w:bCs/>
          <w:color w:val="000000"/>
          <w:sz w:val="28"/>
          <w:szCs w:val="28"/>
          <w:highlight w:val="none"/>
          <w:u w:val="single"/>
          <w:shd w:fill="auto" w:val="clear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  <w:shd w:fill="auto" w:val="clear"/>
        </w:rPr>
      </w:r>
    </w:p>
    <w:p>
      <w:pPr>
        <w:pStyle w:val="ConsPlusNormal1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  <w:shd w:fill="auto" w:val="clear"/>
        </w:rPr>
        <w:t>Цель 2</w:t>
      </w:r>
      <w:r>
        <w:rPr>
          <w:rFonts w:ascii="Times New Roman" w:hAnsi="Times New Roman"/>
          <w:color w:val="000000"/>
          <w:sz w:val="28"/>
          <w:szCs w:val="28"/>
          <w:shd w:fill="auto" w:val="clear"/>
        </w:rPr>
        <w:t xml:space="preserve"> «Сохранение соотношения муниципального долга Анжеро-Судженского городского округа по отношению к общему годовому объему доходов бюджета без учета объема безвозмездных поступлений на уровне, не превышающем, утвержденный решением о местном бюджете на очередной финансовый год и на плановый период, общий объем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 от налога на доходы физических лиц».</w:t>
      </w:r>
    </w:p>
    <w:p>
      <w:pPr>
        <w:pStyle w:val="ConsPlusNormal1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К основным направлениям деятельности в сфере реализации цели 2 относятся:</w:t>
      </w:r>
    </w:p>
    <w:p>
      <w:pPr>
        <w:pStyle w:val="ConsPlusNormal1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- минимизация стоимости обслуживания муниципального долга Анжеро-Судженского городского округа;</w:t>
      </w:r>
    </w:p>
    <w:p>
      <w:pPr>
        <w:pStyle w:val="ConsPlusNormal1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- поддержание экономически обоснованного объема муниципального долга для сохранения позиции в группе городских округов Кемеровской области - Кузбасса с уровнем долговой устойчивости не ниже среднего;</w:t>
      </w:r>
    </w:p>
    <w:p>
      <w:pPr>
        <w:pStyle w:val="ConsPlusNormal1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- безусловное обеспечение полного исполнения принятых долговых обязательств независимо от влияния любых макроэкономических показателей и возможного ухудшения конъюнктуры на финансовом рынке;</w:t>
      </w:r>
    </w:p>
    <w:p>
      <w:pPr>
        <w:pStyle w:val="ConsPlusNormal1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- управление рисками, связанными с осуществлением рыночных заимствований;</w:t>
      </w:r>
    </w:p>
    <w:p>
      <w:pPr>
        <w:pStyle w:val="ConsPlusNormal1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- поддержание репутации Анжеро-Судженского городского округа в качестве надежного заемщика.</w:t>
      </w:r>
    </w:p>
    <w:p>
      <w:pPr>
        <w:pStyle w:val="ConsPlusNormal1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В рамках реализации основной цели запланированы следующие мероприятия:</w:t>
      </w:r>
    </w:p>
    <w:p>
      <w:pPr>
        <w:pStyle w:val="ConsPlusNormal1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- обеспечение выполнения условий реструктуризации задолженности Анжеро-Судженского городского округа перед Кемеровской областью - Кузбассом по бюджетным кредитам;</w:t>
      </w:r>
    </w:p>
    <w:p>
      <w:pPr>
        <w:pStyle w:val="ConsPlusNormal1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- обеспечение привлечения в местной бюджет рыночных заимствований;</w:t>
      </w:r>
    </w:p>
    <w:p>
      <w:pPr>
        <w:pStyle w:val="ConsPlusNormal1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- обеспечение своевременного и равномерного исполнения и обслуживания долговых обязательств Анжеро-Судженского городского округа.</w:t>
      </w:r>
    </w:p>
    <w:p>
      <w:pPr>
        <w:pStyle w:val="ConsPlusNormal1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Ожидаемыми результатами являются:</w:t>
      </w:r>
    </w:p>
    <w:p>
      <w:pPr>
        <w:pStyle w:val="ConsPlusNormal1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- обеспечение исполнения обязательств по обслуживанию муниципального долга Анжеро-Судженского городского округа;</w:t>
      </w:r>
    </w:p>
    <w:p>
      <w:pPr>
        <w:pStyle w:val="ConsPlusNormal1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- сохранение соотношения муниципального долга Анжеро-Судженского городского округа по отношению к общему годовому объему доходов бюджета без учета объема безвозмездных поступлений на уровне, не превышающем, утвержденный решением о местном бюджете на очередной финансовый год и на плановый период, общий объем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 от налога на доходы физических лиц.</w:t>
      </w:r>
    </w:p>
    <w:p>
      <w:pPr>
        <w:sectPr>
          <w:headerReference w:type="default" r:id="rId4"/>
          <w:footerReference w:type="first" r:id="rId5"/>
          <w:type w:val="nextPage"/>
          <w:pgSz w:w="11906" w:h="16838"/>
          <w:pgMar w:left="1701" w:right="850" w:gutter="0" w:header="1134" w:top="1842" w:footer="720" w:bottom="1134"/>
          <w:pgNumType w:fmt="decimal"/>
          <w:formProt w:val="false"/>
          <w:titlePg/>
          <w:textDirection w:val="lrTb"/>
          <w:docGrid w:type="default" w:linePitch="326" w:charSpace="0"/>
        </w:sectPr>
        <w:pStyle w:val="Normal"/>
        <w:ind w:left="0" w:righ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cs="PT Astra Serif"/>
          <w:i w:val="false"/>
          <w:iCs w:val="false"/>
          <w:sz w:val="28"/>
          <w:szCs w:val="28"/>
          <w:shd w:fill="auto" w:val="clear"/>
        </w:rPr>
        <w:t xml:space="preserve">Методики расчета значений показателей, установленных в рамках программы, структурных элементов программы, установлена приложение 5 </w:t>
      </w:r>
      <w:r>
        <w:rPr>
          <w:rFonts w:cs="PT Astra Serif"/>
          <w:i w:val="false"/>
          <w:iCs w:val="false"/>
          <w:color w:val="000000"/>
          <w:sz w:val="28"/>
          <w:szCs w:val="28"/>
          <w:shd w:fill="auto" w:val="clear"/>
        </w:rPr>
        <w:t>к настоящей муниципальной программе</w:t>
      </w:r>
      <w:r>
        <w:rPr>
          <w:rFonts w:cs="PT Astra Serif"/>
          <w:i w:val="false"/>
          <w:iCs w:val="false"/>
          <w:sz w:val="28"/>
          <w:szCs w:val="28"/>
          <w:shd w:fill="auto" w:val="clear"/>
        </w:rPr>
        <w:t xml:space="preserve">. </w:t>
      </w:r>
      <w:r>
        <w:br w:type="page"/>
      </w:r>
    </w:p>
    <w:p>
      <w:pPr>
        <w:pStyle w:val="Normal"/>
        <w:tabs>
          <w:tab w:val="clear" w:pos="708"/>
          <w:tab w:val="left" w:pos="6195" w:leader="none"/>
          <w:tab w:val="left" w:pos="7065" w:leader="none"/>
        </w:tabs>
        <w:jc w:val="center"/>
        <w:rPr>
          <w:color w:val="000000"/>
          <w:sz w:val="28"/>
          <w:szCs w:val="28"/>
          <w:highlight w:val="none"/>
          <w:shd w:fill="auto" w:val="clear"/>
        </w:rPr>
      </w:pPr>
      <w:r>
        <w:rPr>
          <w:color w:val="000000"/>
          <w:sz w:val="28"/>
          <w:szCs w:val="28"/>
          <w:shd w:fill="auto" w:val="clear"/>
        </w:rPr>
      </w:r>
    </w:p>
    <w:p>
      <w:pPr>
        <w:pStyle w:val="ConsPlusNormal1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/>
        </w:rPr>
      </w:pPr>
      <w:bookmarkStart w:id="18" w:name="__DdeLink__5535_857802040_Копия_2"/>
      <w:r>
        <w:rPr>
          <w:rFonts w:ascii="Times New Roman" w:hAnsi="Times New Roman"/>
          <w:color w:val="000000"/>
          <w:sz w:val="28"/>
          <w:szCs w:val="28"/>
          <w:shd w:fill="auto" w:val="clear"/>
        </w:rPr>
        <w:t xml:space="preserve">Приложение </w:t>
      </w:r>
      <w:r>
        <w:rPr>
          <w:rFonts w:ascii="Times New Roman" w:hAnsi="Times New Roman"/>
          <w:color w:val="000000"/>
          <w:sz w:val="28"/>
          <w:szCs w:val="28"/>
          <w:u w:val="none"/>
          <w:shd w:fill="auto" w:val="clear"/>
        </w:rPr>
        <w:t>1</w:t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к муниципальной программе «Управление муниципальными</w:t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финансами Анжеро-Судженского городского округа»,</w:t>
      </w:r>
    </w:p>
    <w:p>
      <w:pPr>
        <w:pStyle w:val="14"/>
        <w:shd w:val="clear" w:color="auto" w:fill="auto"/>
        <w:spacing w:lineRule="auto" w:line="240" w:before="0" w:after="0"/>
        <w:ind w:left="4536" w:hanging="0"/>
        <w:jc w:val="right"/>
        <w:rPr>
          <w:rFonts w:ascii="Times New Roman" w:hAnsi="Times New Roman"/>
        </w:rPr>
      </w:pPr>
      <w:r>
        <w:rPr>
          <w:color w:val="000000"/>
          <w:shd w:fill="auto" w:val="clear"/>
        </w:rPr>
        <w:t xml:space="preserve">утвержденной постановлением администрации </w:t>
      </w:r>
    </w:p>
    <w:p>
      <w:pPr>
        <w:pStyle w:val="14"/>
        <w:shd w:val="clear" w:color="auto" w:fill="auto"/>
        <w:spacing w:lineRule="auto" w:line="240" w:before="0" w:after="0"/>
        <w:ind w:left="4253" w:hanging="0"/>
        <w:jc w:val="right"/>
        <w:rPr>
          <w:rFonts w:ascii="Times New Roman" w:hAnsi="Times New Roman"/>
        </w:rPr>
      </w:pPr>
      <w:r>
        <w:rPr>
          <w:color w:val="000000"/>
          <w:shd w:fill="auto" w:val="clear"/>
        </w:rPr>
        <w:t xml:space="preserve"> </w:t>
      </w:r>
      <w:r>
        <w:rPr>
          <w:color w:val="000000"/>
          <w:shd w:fill="auto" w:val="clear"/>
        </w:rPr>
        <w:t xml:space="preserve">Анжеро-Судженского городского округа </w:t>
      </w:r>
      <w:bookmarkEnd w:id="18"/>
    </w:p>
    <w:p>
      <w:pPr>
        <w:pStyle w:val="14"/>
        <w:shd w:val="clear" w:color="auto" w:fill="auto"/>
        <w:spacing w:lineRule="auto" w:line="240" w:before="0" w:after="0"/>
        <w:ind w:left="4536" w:hanging="0"/>
        <w:jc w:val="right"/>
        <w:rPr>
          <w:rFonts w:ascii="Times New Roman" w:hAnsi="Times New Roman"/>
        </w:rPr>
      </w:pPr>
      <w:r>
        <w:rPr/>
        <w:t xml:space="preserve">      </w:t>
      </w:r>
      <w:r>
        <w:rPr/>
        <w:t xml:space="preserve">от _________________   № ________ </w:t>
      </w:r>
    </w:p>
    <w:p>
      <w:pPr>
        <w:pStyle w:val="Normal"/>
        <w:tabs>
          <w:tab w:val="clear" w:pos="708"/>
          <w:tab w:val="left" w:pos="6195" w:leader="none"/>
          <w:tab w:val="left" w:pos="7065" w:leader="none"/>
        </w:tabs>
        <w:jc w:val="center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08"/>
          <w:tab w:val="left" w:pos="6195" w:leader="none"/>
          <w:tab w:val="left" w:pos="7065" w:leader="none"/>
        </w:tabs>
        <w:jc w:val="center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08"/>
          <w:tab w:val="left" w:pos="6195" w:leader="none"/>
          <w:tab w:val="left" w:pos="7065" w:leader="none"/>
        </w:tabs>
        <w:jc w:val="center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08"/>
          <w:tab w:val="left" w:pos="6195" w:leader="none"/>
          <w:tab w:val="left" w:pos="7065" w:leader="none"/>
        </w:tabs>
        <w:jc w:val="center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08"/>
          <w:tab w:val="left" w:pos="6195" w:leader="none"/>
          <w:tab w:val="left" w:pos="7065" w:leader="none"/>
        </w:tabs>
        <w:jc w:val="center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08"/>
          <w:tab w:val="left" w:pos="6195" w:leader="none"/>
          <w:tab w:val="left" w:pos="7065" w:leader="none"/>
        </w:tabs>
        <w:jc w:val="center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08"/>
          <w:tab w:val="left" w:pos="6195" w:leader="none"/>
          <w:tab w:val="left" w:pos="7065" w:leader="none"/>
        </w:tabs>
        <w:jc w:val="center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08"/>
          <w:tab w:val="left" w:pos="6195" w:leader="none"/>
          <w:tab w:val="left" w:pos="7065" w:leader="none"/>
        </w:tabs>
        <w:jc w:val="center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08"/>
          <w:tab w:val="left" w:pos="6195" w:leader="none"/>
          <w:tab w:val="left" w:pos="7065" w:leader="none"/>
        </w:tabs>
        <w:jc w:val="center"/>
        <w:rPr>
          <w:rFonts w:ascii="PT Astra Serif" w:hAnsi="PT Astra Serif"/>
          <w:b/>
          <w:bCs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b/>
          <w:bCs/>
          <w:color w:val="000000"/>
          <w:sz w:val="28"/>
          <w:szCs w:val="28"/>
          <w:shd w:fill="auto" w:val="clear"/>
        </w:rPr>
        <w:t>Ре</w:t>
      </w:r>
      <w:bookmarkStart w:id="19" w:name="__DdeLink__4477_1800157355"/>
      <w:r>
        <w:rPr>
          <w:rFonts w:ascii="PT Astra Serif" w:hAnsi="PT Astra Serif"/>
          <w:b/>
          <w:bCs/>
          <w:color w:val="000000"/>
          <w:sz w:val="28"/>
          <w:szCs w:val="28"/>
          <w:shd w:fill="auto" w:val="clear"/>
        </w:rPr>
        <w:t>естр документов, входящих в состав муниципальной программы</w:t>
      </w:r>
      <w:bookmarkEnd w:id="19"/>
      <w:r>
        <w:br w:type="page"/>
      </w:r>
    </w:p>
    <w:tbl>
      <w:tblPr>
        <w:tblW w:w="14163" w:type="dxa"/>
        <w:jc w:val="left"/>
        <w:tblInd w:w="251" w:type="dxa"/>
        <w:tblLayout w:type="fixed"/>
        <w:tblCellMar>
          <w:top w:w="0" w:type="dxa"/>
          <w:left w:w="5" w:type="dxa"/>
          <w:bottom w:w="0" w:type="dxa"/>
          <w:right w:w="5" w:type="dxa"/>
        </w:tblCellMar>
      </w:tblPr>
      <w:tblGrid>
        <w:gridCol w:w="760"/>
        <w:gridCol w:w="2980"/>
        <w:gridCol w:w="2028"/>
        <w:gridCol w:w="2127"/>
        <w:gridCol w:w="2000"/>
        <w:gridCol w:w="1902"/>
        <w:gridCol w:w="2365"/>
      </w:tblGrid>
      <w:tr>
        <w:trPr>
          <w:trHeight w:val="1113" w:hRule="atLeast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pageBreakBefore/>
              <w:widowControl w:val="false"/>
              <w:snapToGrid w:val="false"/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shd w:fill="auto" w:val="clear"/>
              </w:rPr>
            </w:r>
          </w:p>
          <w:p>
            <w:pPr>
              <w:pStyle w:val="TableParagraph"/>
              <w:widowControl w:val="false"/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shd w:fill="auto" w:val="clear"/>
              </w:rPr>
              <w:t>№</w:t>
            </w:r>
            <w:r>
              <w:rPr>
                <w:rFonts w:ascii="PT Astra Serif" w:hAnsi="PT Astra Serif"/>
                <w:b/>
                <w:bCs/>
                <w:color w:val="000000"/>
                <w:spacing w:val="-2"/>
                <w:sz w:val="28"/>
                <w:szCs w:val="28"/>
                <w:shd w:fill="auto" w:val="clear"/>
              </w:rPr>
              <w:t xml:space="preserve"> </w:t>
            </w:r>
            <w:r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shd w:fill="auto" w:val="clear"/>
              </w:rPr>
              <w:t>п/п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TableParagraph"/>
              <w:widowControl w:val="false"/>
              <w:snapToGrid w:val="false"/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shd w:fill="auto" w:val="clear"/>
              </w:rPr>
            </w:r>
          </w:p>
          <w:p>
            <w:pPr>
              <w:pStyle w:val="TableParagraph"/>
              <w:widowControl w:val="false"/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shd w:fill="auto" w:val="clear"/>
              </w:rPr>
              <w:t>Тип</w:t>
            </w:r>
            <w:r>
              <w:rPr>
                <w:rFonts w:ascii="PT Astra Serif" w:hAnsi="PT Astra Serif"/>
                <w:b/>
                <w:bCs/>
                <w:color w:val="000000"/>
                <w:spacing w:val="-2"/>
                <w:sz w:val="28"/>
                <w:szCs w:val="28"/>
                <w:shd w:fill="auto" w:val="clear"/>
              </w:rPr>
              <w:t xml:space="preserve"> </w:t>
            </w:r>
            <w:r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shd w:fill="auto" w:val="clear"/>
              </w:rPr>
              <w:t>документа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TableParagraph"/>
              <w:widowControl w:val="false"/>
              <w:snapToGrid w:val="false"/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shd w:fill="auto" w:val="clear"/>
              </w:rPr>
            </w:r>
          </w:p>
          <w:p>
            <w:pPr>
              <w:pStyle w:val="TableParagraph"/>
              <w:widowControl w:val="false"/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shd w:fill="auto" w:val="clear"/>
              </w:rPr>
              <w:t>Вид</w:t>
            </w:r>
            <w:r>
              <w:rPr>
                <w:rFonts w:ascii="PT Astra Serif" w:hAnsi="PT Astra Serif"/>
                <w:b/>
                <w:bCs/>
                <w:color w:val="000000"/>
                <w:spacing w:val="-3"/>
                <w:sz w:val="28"/>
                <w:szCs w:val="28"/>
                <w:shd w:fill="auto" w:val="clear"/>
              </w:rPr>
              <w:t xml:space="preserve"> </w:t>
            </w:r>
            <w:r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shd w:fill="auto" w:val="clear"/>
              </w:rPr>
              <w:t>документа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TableParagraph"/>
              <w:widowControl w:val="false"/>
              <w:snapToGrid w:val="false"/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shd w:fill="auto" w:val="clear"/>
              </w:rPr>
            </w:r>
          </w:p>
          <w:p>
            <w:pPr>
              <w:pStyle w:val="TableParagraph"/>
              <w:widowControl w:val="false"/>
              <w:ind w:left="0" w:right="0" w:hanging="142"/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b/>
                <w:bCs/>
                <w:color w:val="000000"/>
                <w:spacing w:val="-1"/>
                <w:sz w:val="28"/>
                <w:szCs w:val="28"/>
                <w:shd w:fill="auto" w:val="clear"/>
              </w:rPr>
              <w:t>Наименование</w:t>
            </w:r>
            <w:r>
              <w:rPr>
                <w:rFonts w:ascii="PT Astra Serif" w:hAnsi="PT Astra Serif"/>
                <w:b/>
                <w:bCs/>
                <w:color w:val="000000"/>
                <w:spacing w:val="-46"/>
                <w:sz w:val="28"/>
                <w:szCs w:val="28"/>
                <w:shd w:fill="auto" w:val="clear"/>
              </w:rPr>
              <w:t xml:space="preserve"> </w:t>
            </w:r>
            <w:r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shd w:fill="auto" w:val="clear"/>
              </w:rPr>
              <w:t>документа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TableParagraph"/>
              <w:widowControl w:val="false"/>
              <w:snapToGrid w:val="false"/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shd w:fill="auto" w:val="clear"/>
              </w:rPr>
            </w:r>
          </w:p>
          <w:p>
            <w:pPr>
              <w:pStyle w:val="TableParagraph"/>
              <w:widowControl w:val="false"/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shd w:fill="auto" w:val="clear"/>
              </w:rPr>
              <w:t>Реквизиты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TableParagraph"/>
              <w:widowControl w:val="false"/>
              <w:snapToGrid w:val="false"/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shd w:fill="auto" w:val="clear"/>
              </w:rPr>
            </w:r>
          </w:p>
          <w:p>
            <w:pPr>
              <w:pStyle w:val="TableParagraph"/>
              <w:widowControl w:val="false"/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shd w:fill="auto" w:val="clear"/>
              </w:rPr>
              <w:t>Разработчик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TableParagraph"/>
              <w:widowControl w:val="false"/>
              <w:snapToGrid w:val="false"/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shd w:fill="auto" w:val="clear"/>
              </w:rPr>
            </w:r>
          </w:p>
          <w:p>
            <w:pPr>
              <w:pStyle w:val="TableParagraph"/>
              <w:widowControl w:val="false"/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shd w:fill="auto" w:val="clear"/>
              </w:rPr>
              <w:t>Гиперссылка</w:t>
            </w:r>
            <w:r>
              <w:rPr>
                <w:rFonts w:ascii="PT Astra Serif" w:hAnsi="PT Astra Serif"/>
                <w:b/>
                <w:bCs/>
                <w:color w:val="000000"/>
                <w:spacing w:val="1"/>
                <w:sz w:val="28"/>
                <w:szCs w:val="28"/>
                <w:shd w:fill="auto" w:val="clear"/>
              </w:rPr>
              <w:t xml:space="preserve"> </w:t>
            </w:r>
            <w:r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shd w:fill="auto" w:val="clear"/>
              </w:rPr>
              <w:t>на</w:t>
            </w:r>
            <w:r>
              <w:rPr>
                <w:rFonts w:ascii="PT Astra Serif" w:hAnsi="PT Astra Serif"/>
                <w:b/>
                <w:bCs/>
                <w:color w:val="000000"/>
                <w:spacing w:val="-2"/>
                <w:sz w:val="28"/>
                <w:szCs w:val="28"/>
                <w:shd w:fill="auto" w:val="clear"/>
              </w:rPr>
              <w:t xml:space="preserve"> </w:t>
            </w:r>
            <w:r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shd w:fill="auto" w:val="clear"/>
              </w:rPr>
              <w:t>текст</w:t>
            </w:r>
            <w:r>
              <w:rPr>
                <w:rFonts w:ascii="PT Astra Serif" w:hAnsi="PT Astra Serif"/>
                <w:b/>
                <w:bCs/>
                <w:color w:val="000000"/>
                <w:spacing w:val="-3"/>
                <w:sz w:val="28"/>
                <w:szCs w:val="28"/>
                <w:shd w:fill="auto" w:val="clear"/>
              </w:rPr>
              <w:t xml:space="preserve"> </w:t>
            </w:r>
            <w:r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shd w:fill="auto" w:val="clear"/>
              </w:rPr>
              <w:t>документа</w:t>
            </w:r>
          </w:p>
        </w:tc>
      </w:tr>
      <w:tr>
        <w:trPr>
          <w:trHeight w:val="230" w:hRule="atLeast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TableParagraph"/>
              <w:widowControl w:val="false"/>
              <w:jc w:val="center"/>
              <w:rPr>
                <w:rFonts w:ascii="PT Astra Serif" w:hAnsi="PT Astra Serif"/>
                <w:color w:val="000000"/>
                <w:w w:val="99"/>
                <w:sz w:val="28"/>
                <w:szCs w:val="28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w w:val="99"/>
                <w:sz w:val="28"/>
                <w:szCs w:val="28"/>
                <w:shd w:fill="auto" w:val="clear"/>
              </w:rPr>
              <w:t>1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jc w:val="center"/>
              <w:rPr>
                <w:rFonts w:ascii="PT Astra Serif" w:hAnsi="PT Astra Serif"/>
                <w:color w:val="000000"/>
                <w:w w:val="99"/>
                <w:sz w:val="28"/>
                <w:szCs w:val="28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w w:val="99"/>
                <w:sz w:val="28"/>
                <w:szCs w:val="28"/>
                <w:shd w:fill="auto" w:val="clear"/>
              </w:rPr>
              <w:t>2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jc w:val="center"/>
              <w:rPr>
                <w:rFonts w:ascii="PT Astra Serif" w:hAnsi="PT Astra Serif"/>
                <w:color w:val="000000"/>
                <w:w w:val="99"/>
                <w:sz w:val="28"/>
                <w:szCs w:val="28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w w:val="99"/>
                <w:sz w:val="28"/>
                <w:szCs w:val="28"/>
                <w:shd w:fill="auto" w:val="clear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jc w:val="center"/>
              <w:rPr>
                <w:rFonts w:ascii="PT Astra Serif" w:hAnsi="PT Astra Serif"/>
                <w:color w:val="000000"/>
                <w:w w:val="99"/>
                <w:sz w:val="28"/>
                <w:szCs w:val="28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w w:val="99"/>
                <w:sz w:val="28"/>
                <w:szCs w:val="28"/>
                <w:shd w:fill="auto" w:val="clear"/>
              </w:rPr>
              <w:t>4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jc w:val="center"/>
              <w:rPr>
                <w:rFonts w:ascii="PT Astra Serif" w:hAnsi="PT Astra Serif"/>
                <w:color w:val="000000"/>
                <w:w w:val="99"/>
                <w:sz w:val="28"/>
                <w:szCs w:val="28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w w:val="99"/>
                <w:sz w:val="28"/>
                <w:szCs w:val="28"/>
                <w:shd w:fill="auto" w:val="clear"/>
              </w:rPr>
              <w:t>5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jc w:val="center"/>
              <w:rPr>
                <w:rFonts w:ascii="PT Astra Serif" w:hAnsi="PT Astra Serif"/>
                <w:color w:val="000000"/>
                <w:w w:val="99"/>
                <w:sz w:val="28"/>
                <w:szCs w:val="28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w w:val="99"/>
                <w:sz w:val="28"/>
                <w:szCs w:val="28"/>
                <w:shd w:fill="auto" w:val="clear"/>
              </w:rPr>
              <w:t>6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jc w:val="center"/>
              <w:rPr>
                <w:rFonts w:ascii="PT Astra Serif" w:hAnsi="PT Astra Serif"/>
                <w:color w:val="000000"/>
                <w:w w:val="99"/>
                <w:sz w:val="28"/>
                <w:szCs w:val="28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w w:val="99"/>
                <w:sz w:val="28"/>
                <w:szCs w:val="28"/>
                <w:shd w:fill="auto" w:val="clear"/>
              </w:rPr>
              <w:t>7</w:t>
            </w:r>
          </w:p>
        </w:tc>
      </w:tr>
      <w:tr>
        <w:trPr>
          <w:trHeight w:val="405" w:hRule="atLeast"/>
        </w:trPr>
        <w:tc>
          <w:tcPr>
            <w:tcW w:w="141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jc w:val="left"/>
              <w:rPr>
                <w:rFonts w:ascii="PT Astra Serif" w:hAnsi="PT Astra Serif"/>
                <w:b w:val="false"/>
                <w:bCs w:val="false"/>
                <w:color w:val="000000"/>
                <w:sz w:val="28"/>
                <w:szCs w:val="28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b w:val="false"/>
                <w:bCs w:val="false"/>
                <w:color w:val="000000"/>
                <w:spacing w:val="-4"/>
                <w:sz w:val="28"/>
                <w:szCs w:val="28"/>
                <w:shd w:fill="auto" w:val="clear"/>
              </w:rPr>
              <w:t xml:space="preserve"> </w:t>
            </w:r>
            <w:r>
              <w:rPr>
                <w:rFonts w:ascii="PT Astra Serif" w:hAnsi="PT Astra Serif"/>
                <w:b w:val="false"/>
                <w:bCs w:val="false"/>
                <w:color w:val="000000"/>
                <w:spacing w:val="-4"/>
                <w:sz w:val="28"/>
                <w:szCs w:val="28"/>
                <w:shd w:fill="auto" w:val="clear"/>
              </w:rPr>
              <w:t>М</w:t>
            </w:r>
            <w:r>
              <w:rPr>
                <w:rFonts w:ascii="PT Astra Serif" w:hAnsi="PT Astra Serif"/>
                <w:b w:val="false"/>
                <w:bCs w:val="false"/>
                <w:color w:val="000000"/>
                <w:sz w:val="28"/>
                <w:szCs w:val="28"/>
                <w:shd w:fill="auto" w:val="clear"/>
              </w:rPr>
              <w:t>униципальная</w:t>
            </w:r>
            <w:r>
              <w:rPr>
                <w:rFonts w:ascii="PT Astra Serif" w:hAnsi="PT Astra Serif"/>
                <w:b w:val="false"/>
                <w:bCs w:val="false"/>
                <w:color w:val="000000"/>
                <w:spacing w:val="-3"/>
                <w:sz w:val="28"/>
                <w:szCs w:val="28"/>
                <w:shd w:fill="auto" w:val="clear"/>
              </w:rPr>
              <w:t xml:space="preserve"> </w:t>
            </w:r>
            <w:r>
              <w:rPr>
                <w:rFonts w:ascii="PT Astra Serif" w:hAnsi="PT Astra Serif"/>
                <w:b w:val="false"/>
                <w:bCs w:val="false"/>
                <w:color w:val="000000"/>
                <w:sz w:val="28"/>
                <w:szCs w:val="28"/>
                <w:shd w:fill="auto" w:val="clear"/>
              </w:rPr>
              <w:t>программа</w:t>
            </w:r>
            <w:r>
              <w:rPr>
                <w:rFonts w:ascii="PT Astra Serif" w:hAnsi="PT Astra Serif"/>
                <w:b w:val="false"/>
                <w:bCs w:val="false"/>
                <w:color w:val="000000"/>
                <w:spacing w:val="-2"/>
                <w:sz w:val="28"/>
                <w:szCs w:val="28"/>
                <w:shd w:fill="auto" w:val="clear"/>
              </w:rPr>
              <w:t xml:space="preserve"> </w:t>
            </w:r>
            <w:r>
              <w:rPr>
                <w:rFonts w:ascii="PT Astra Serif" w:hAnsi="PT Astra Serif"/>
                <w:b w:val="false"/>
                <w:bCs w:val="false"/>
                <w:i/>
                <w:iCs/>
                <w:color w:val="000000"/>
                <w:spacing w:val="-2"/>
                <w:sz w:val="28"/>
                <w:szCs w:val="28"/>
                <w:shd w:fill="auto" w:val="clear"/>
              </w:rPr>
              <w:t>«</w:t>
            </w:r>
            <w:bookmarkStart w:id="20" w:name="__DdeLink__9784_3429019520_Копия_1"/>
            <w:r>
              <w:rPr>
                <w:rFonts w:ascii="PT Astra Serif" w:hAnsi="PT Astra Serif"/>
                <w:b w:val="false"/>
                <w:bCs w:val="false"/>
                <w:i/>
                <w:iCs/>
                <w:color w:val="000000"/>
                <w:spacing w:val="-2"/>
                <w:sz w:val="28"/>
                <w:szCs w:val="28"/>
                <w:shd w:fill="auto" w:val="clear"/>
              </w:rPr>
              <w:t>Управление муниципальными финансами А</w:t>
            </w:r>
            <w:bookmarkStart w:id="21" w:name="__DdeLink__7176_2425862386_Копия_1"/>
            <w:r>
              <w:rPr>
                <w:rFonts w:ascii="PT Astra Serif" w:hAnsi="PT Astra Serif"/>
                <w:b w:val="false"/>
                <w:bCs w:val="false"/>
                <w:i/>
                <w:iCs/>
                <w:color w:val="000000"/>
                <w:spacing w:val="-2"/>
                <w:sz w:val="28"/>
                <w:szCs w:val="28"/>
                <w:shd w:fill="auto" w:val="clear"/>
              </w:rPr>
              <w:t>нжеро-Судженского городского округа</w:t>
            </w:r>
            <w:bookmarkEnd w:id="20"/>
            <w:bookmarkEnd w:id="21"/>
            <w:r>
              <w:rPr>
                <w:rFonts w:ascii="PT Astra Serif" w:hAnsi="PT Astra Serif"/>
                <w:b w:val="false"/>
                <w:bCs w:val="false"/>
                <w:i/>
                <w:iCs/>
                <w:color w:val="000000"/>
                <w:spacing w:val="-2"/>
                <w:sz w:val="28"/>
                <w:szCs w:val="28"/>
                <w:shd w:fill="auto" w:val="clear"/>
              </w:rPr>
              <w:t>»</w:t>
            </w:r>
          </w:p>
        </w:tc>
      </w:tr>
      <w:tr>
        <w:trPr>
          <w:trHeight w:val="230" w:hRule="atLeast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jc w:val="left"/>
              <w:rPr>
                <w:rFonts w:ascii="PT Astra Serif" w:hAnsi="PT Astra Serif"/>
                <w:b w:val="false"/>
                <w:bCs w:val="false"/>
                <w:color w:val="000000"/>
                <w:sz w:val="28"/>
                <w:szCs w:val="28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b w:val="false"/>
                <w:bCs w:val="false"/>
                <w:color w:val="000000"/>
                <w:sz w:val="28"/>
                <w:szCs w:val="28"/>
                <w:shd w:fill="auto" w:val="clear"/>
              </w:rPr>
              <w:t>1.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hanging="0"/>
              <w:jc w:val="left"/>
              <w:rPr>
                <w:rFonts w:ascii="PT Astra Serif" w:hAnsi="PT Astra Serif"/>
                <w:b w:val="false"/>
                <w:bCs w:val="false"/>
                <w:color w:val="000000"/>
                <w:spacing w:val="0"/>
                <w:kern w:val="0"/>
                <w:sz w:val="28"/>
                <w:szCs w:val="28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b w:val="false"/>
                <w:bCs w:val="false"/>
                <w:color w:val="000000"/>
                <w:spacing w:val="0"/>
                <w:kern w:val="0"/>
                <w:sz w:val="28"/>
                <w:szCs w:val="28"/>
                <w:shd w:fill="auto" w:val="clear"/>
              </w:rPr>
              <w:t>Паспорт муниципальной программы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napToGrid w:val="false"/>
              <w:jc w:val="left"/>
              <w:rPr>
                <w:rFonts w:ascii="PT Astra Serif" w:hAnsi="PT Astra Serif"/>
                <w:b w:val="false"/>
                <w:bCs w:val="false"/>
                <w:color w:val="000000"/>
                <w:sz w:val="28"/>
                <w:szCs w:val="28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b w:val="false"/>
                <w:bCs w:val="false"/>
                <w:color w:val="000000"/>
                <w:sz w:val="28"/>
                <w:szCs w:val="28"/>
                <w:shd w:fill="auto" w:val="clear"/>
              </w:rPr>
              <w:t>Постановление администрации Анжеро-Суженского городского округа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0"/>
              <w:jc w:val="left"/>
              <w:rPr>
                <w:rFonts w:ascii="PT Astra Serif" w:hAnsi="PT Astra Serif"/>
                <w:b w:val="false"/>
                <w:bCs w:val="false"/>
                <w:color w:val="000000"/>
                <w:sz w:val="28"/>
                <w:szCs w:val="28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b w:val="false"/>
                <w:bCs w:val="false"/>
                <w:color w:val="000000"/>
                <w:sz w:val="28"/>
                <w:szCs w:val="28"/>
                <w:shd w:fill="auto" w:val="clear"/>
              </w:rPr>
              <w:t>Об утверждении муниципальной программы «Управление муниципальными финансами Анжеро-Судженского городского округа»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napToGrid w:val="false"/>
              <w:jc w:val="left"/>
              <w:rPr>
                <w:rFonts w:ascii="PT Astra Serif" w:hAnsi="PT Astra Serif"/>
                <w:b w:val="false"/>
                <w:bCs w:val="false"/>
                <w:color w:val="000000"/>
                <w:sz w:val="28"/>
                <w:szCs w:val="28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b w:val="false"/>
                <w:bCs w:val="false"/>
                <w:color w:val="000000"/>
                <w:sz w:val="28"/>
                <w:szCs w:val="28"/>
                <w:shd w:fill="auto" w:val="clear"/>
              </w:rPr>
              <w:t xml:space="preserve">От </w:t>
            </w:r>
          </w:p>
          <w:p>
            <w:pPr>
              <w:pStyle w:val="TableParagraph"/>
              <w:widowControl w:val="false"/>
              <w:snapToGrid w:val="false"/>
              <w:jc w:val="left"/>
              <w:rPr>
                <w:rFonts w:ascii="PT Astra Serif" w:hAnsi="PT Astra Serif"/>
                <w:b w:val="false"/>
                <w:bCs w:val="false"/>
                <w:color w:val="000000"/>
                <w:sz w:val="28"/>
                <w:szCs w:val="28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b w:val="false"/>
                <w:bCs w:val="false"/>
                <w:color w:val="000000"/>
                <w:sz w:val="28"/>
                <w:szCs w:val="28"/>
                <w:shd w:fill="auto" w:val="clear"/>
              </w:rPr>
              <w:t>№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widowControl w:val="false"/>
              <w:spacing w:lineRule="auto" w:line="240" w:before="0" w:after="0"/>
              <w:jc w:val="left"/>
              <w:rPr>
                <w:rFonts w:ascii="PT Astra Serif" w:hAnsi="PT Astra Serif"/>
                <w:b w:val="false"/>
                <w:bCs w:val="false"/>
                <w:color w:val="000000"/>
                <w:sz w:val="28"/>
                <w:szCs w:val="28"/>
                <w:highlight w:val="none"/>
                <w:shd w:fill="auto" w:val="clear"/>
              </w:rPr>
            </w:pPr>
            <w:r>
              <w:rPr>
                <w:rFonts w:cs="Times New Roman" w:ascii="PT Astra Serif" w:hAnsi="PT Astra Serif"/>
                <w:b w:val="false"/>
                <w:bCs w:val="false"/>
                <w:color w:val="000000"/>
                <w:sz w:val="28"/>
                <w:szCs w:val="28"/>
                <w:shd w:fill="auto" w:val="clear"/>
              </w:rPr>
              <w:t>Финансовое управление администрации Анжеро-Судженского городского округа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numPr>
                <w:ilvl w:val="0"/>
                <w:numId w:val="0"/>
              </w:numPr>
              <w:ind w:left="0" w:hanging="0"/>
              <w:jc w:val="left"/>
              <w:outlineLvl w:val="1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  <w:shd w:fill="auto" w:val="clear"/>
              </w:rPr>
              <w:t xml:space="preserve">Приложение </w:t>
            </w:r>
            <w:r>
              <w:rPr>
                <w:rFonts w:ascii="PT Astra Serif" w:hAnsi="PT Astra Serif"/>
                <w:color w:val="000000"/>
                <w:sz w:val="28"/>
                <w:szCs w:val="28"/>
                <w:u w:val="none"/>
                <w:shd w:fill="auto" w:val="clear"/>
              </w:rPr>
              <w:t>2</w:t>
            </w:r>
          </w:p>
          <w:p>
            <w:pPr>
              <w:pStyle w:val="ConsPlusNormal1"/>
              <w:widowControl w:val="false"/>
              <w:ind w:hanging="0"/>
              <w:jc w:val="both"/>
              <w:rPr/>
            </w:pPr>
            <w:r>
              <w:rPr>
                <w:rFonts w:ascii="PT Astra Serif" w:hAnsi="PT Astra Serif"/>
                <w:color w:val="000000"/>
                <w:sz w:val="28"/>
                <w:szCs w:val="28"/>
                <w:shd w:fill="auto" w:val="clear"/>
              </w:rPr>
              <w:t>к муниципальной программе «Управление муниципальными</w:t>
            </w:r>
          </w:p>
          <w:p>
            <w:pPr>
              <w:pStyle w:val="ConsPlusNormal1"/>
              <w:widowControl w:val="false"/>
              <w:ind w:hanging="0"/>
              <w:jc w:val="both"/>
              <w:rPr/>
            </w:pPr>
            <w:bookmarkStart w:id="22" w:name="__DdeLink__5547_857802040"/>
            <w:r>
              <w:rPr>
                <w:rFonts w:ascii="PT Astra Serif" w:hAnsi="PT Astra Serif"/>
                <w:color w:val="000000"/>
                <w:sz w:val="28"/>
                <w:szCs w:val="28"/>
                <w:shd w:fill="auto" w:val="clear"/>
              </w:rPr>
              <w:t>финансами Анжеро-Судженского городского округа»</w:t>
            </w:r>
            <w:bookmarkEnd w:id="22"/>
          </w:p>
          <w:p>
            <w:pPr>
              <w:pStyle w:val="14"/>
              <w:widowControl w:val="false"/>
              <w:shd w:val="clear" w:color="auto" w:fill="auto"/>
              <w:spacing w:lineRule="auto" w:line="240" w:before="0" w:after="0"/>
              <w:ind w:left="4536"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  <w:t xml:space="preserve">утвержденной постановлением администрации </w:t>
            </w:r>
          </w:p>
          <w:p>
            <w:pPr>
              <w:pStyle w:val="14"/>
              <w:widowControl w:val="false"/>
              <w:shd w:val="clear" w:color="auto" w:fill="auto"/>
              <w:spacing w:lineRule="auto" w:line="240" w:before="0" w:after="0"/>
              <w:ind w:left="4253"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/>
              <w:t xml:space="preserve"> </w:t>
            </w:r>
            <w:r>
              <w:rPr/>
              <w:t xml:space="preserve">Анжеро-Судженского городского округа </w:t>
            </w:r>
          </w:p>
        </w:tc>
      </w:tr>
      <w:tr>
        <w:trPr>
          <w:trHeight w:val="309" w:hRule="atLeast"/>
        </w:trPr>
        <w:tc>
          <w:tcPr>
            <w:tcW w:w="141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jc w:val="center"/>
              <w:rPr>
                <w:rFonts w:ascii="PT Astra Serif" w:hAnsi="PT Astra Serif"/>
                <w:color w:val="000000"/>
                <w:sz w:val="28"/>
                <w:szCs w:val="28"/>
                <w:highlight w:val="none"/>
                <w:shd w:fill="auto" w:val="clear"/>
              </w:rPr>
            </w:pPr>
            <w:bookmarkStart w:id="23" w:name="__DdeLink__4904_1800157355"/>
            <w:r>
              <w:rPr>
                <w:rFonts w:ascii="PT Astra Serif" w:hAnsi="PT Astra Serif"/>
                <w:color w:val="000000"/>
                <w:spacing w:val="-4"/>
                <w:sz w:val="28"/>
                <w:szCs w:val="28"/>
                <w:shd w:fill="auto" w:val="clear"/>
              </w:rPr>
              <w:t xml:space="preserve">1 </w:t>
            </w:r>
            <w:r>
              <w:rPr>
                <w:rFonts w:ascii="PT Astra Serif" w:hAnsi="PT Astra Serif"/>
                <w:color w:val="000000"/>
                <w:sz w:val="28"/>
                <w:szCs w:val="28"/>
                <w:shd w:fill="auto" w:val="clear"/>
              </w:rPr>
              <w:t>Структурный</w:t>
            </w:r>
            <w:r>
              <w:rPr>
                <w:rFonts w:ascii="PT Astra Serif" w:hAnsi="PT Astra Serif"/>
                <w:color w:val="000000"/>
                <w:spacing w:val="-2"/>
                <w:sz w:val="28"/>
                <w:szCs w:val="28"/>
                <w:shd w:fill="auto" w:val="clear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8"/>
                <w:szCs w:val="28"/>
                <w:shd w:fill="auto" w:val="clear"/>
              </w:rPr>
              <w:t>элемент</w:t>
            </w:r>
            <w:r>
              <w:rPr>
                <w:rFonts w:ascii="PT Astra Serif" w:hAnsi="PT Astra Serif"/>
                <w:i/>
                <w:iCs/>
                <w:color w:val="000000"/>
                <w:spacing w:val="-3"/>
                <w:sz w:val="28"/>
                <w:szCs w:val="28"/>
                <w:shd w:fill="auto" w:val="clear"/>
              </w:rPr>
              <w:t xml:space="preserve"> </w:t>
            </w:r>
            <w:bookmarkStart w:id="24" w:name="__DdeLink__4868_1800157355"/>
            <w:r>
              <w:rPr>
                <w:rFonts w:ascii="PT Astra Serif" w:hAnsi="PT Astra Serif"/>
                <w:i/>
                <w:iCs/>
                <w:color w:val="000000"/>
                <w:sz w:val="28"/>
                <w:szCs w:val="28"/>
                <w:shd w:fill="auto" w:val="clear"/>
              </w:rPr>
              <w:t xml:space="preserve">«Комплекс процессных мероприятий «Обеспечение сбалансированности, устойчивости бюджетной системы и создание условий для повышения эффективности расходов Анжеро-Судженского городского округа» </w:t>
            </w:r>
            <w:bookmarkEnd w:id="23"/>
            <w:bookmarkEnd w:id="24"/>
          </w:p>
        </w:tc>
      </w:tr>
      <w:tr>
        <w:trPr>
          <w:trHeight w:val="230" w:hRule="atLeast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jc w:val="center"/>
              <w:rPr>
                <w:rFonts w:ascii="PT Astra Serif" w:hAnsi="PT Astra Serif"/>
                <w:color w:val="000000"/>
                <w:sz w:val="28"/>
                <w:szCs w:val="28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  <w:shd w:fill="auto" w:val="clear"/>
              </w:rPr>
              <w:t>1.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napToGrid w:val="false"/>
              <w:jc w:val="both"/>
              <w:rPr>
                <w:rFonts w:ascii="PT Astra Serif" w:hAnsi="PT Astra Serif"/>
                <w:b w:val="false"/>
                <w:bCs w:val="false"/>
                <w:i w:val="false"/>
                <w:i w:val="false"/>
                <w:iCs w:val="false"/>
                <w:color w:val="000000"/>
                <w:sz w:val="28"/>
                <w:szCs w:val="28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b w:val="false"/>
                <w:bCs w:val="false"/>
                <w:i w:val="false"/>
                <w:iCs w:val="false"/>
                <w:color w:val="000000"/>
                <w:sz w:val="28"/>
                <w:szCs w:val="28"/>
                <w:shd w:fill="auto" w:val="clear"/>
              </w:rPr>
              <w:t>Паспорт комплекса процессных мероприятий «</w:t>
            </w:r>
            <w:bookmarkStart w:id="25" w:name="__DdeLink__9796_3429019520_Копия_1"/>
            <w:r>
              <w:rPr>
                <w:rFonts w:ascii="PT Astra Serif" w:hAnsi="PT Astra Serif"/>
                <w:b w:val="false"/>
                <w:bCs w:val="false"/>
                <w:i w:val="false"/>
                <w:iCs w:val="false"/>
                <w:color w:val="000000"/>
                <w:sz w:val="28"/>
                <w:szCs w:val="28"/>
                <w:shd w:fill="auto" w:val="clear"/>
              </w:rPr>
              <w:t>Обеспечение сбалансированности, устойчивости бюджетной системы и создание условий для повышения эффектив-ности расходов Анжеро-судженского городского округа</w:t>
            </w:r>
            <w:bookmarkEnd w:id="25"/>
            <w:r>
              <w:rPr>
                <w:rFonts w:ascii="PT Astra Serif" w:hAnsi="PT Astra Serif"/>
                <w:b w:val="false"/>
                <w:bCs w:val="false"/>
                <w:i w:val="false"/>
                <w:iCs w:val="false"/>
                <w:color w:val="000000"/>
                <w:sz w:val="28"/>
                <w:szCs w:val="28"/>
                <w:shd w:fill="auto" w:val="clear"/>
              </w:rPr>
              <w:t>»</w:t>
            </w:r>
          </w:p>
          <w:p>
            <w:pPr>
              <w:pStyle w:val="TableParagraph"/>
              <w:widowControl w:val="false"/>
              <w:snapToGrid w:val="false"/>
              <w:jc w:val="left"/>
              <w:rPr/>
            </w:pPr>
            <w:r>
              <w:rPr/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napToGrid w:val="false"/>
              <w:jc w:val="left"/>
              <w:rPr>
                <w:rFonts w:ascii="PT Astra Serif" w:hAnsi="PT Astra Serif"/>
                <w:b w:val="false"/>
                <w:bCs w:val="false"/>
                <w:color w:val="000000"/>
                <w:sz w:val="28"/>
                <w:szCs w:val="28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b w:val="false"/>
                <w:bCs w:val="false"/>
                <w:color w:val="000000"/>
                <w:sz w:val="28"/>
                <w:szCs w:val="28"/>
                <w:shd w:fill="auto" w:val="clear"/>
              </w:rPr>
              <w:t>Постановление администрации Анжеро-Суженского городского округа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0"/>
              <w:jc w:val="left"/>
              <w:rPr>
                <w:rFonts w:ascii="PT Astra Serif" w:hAnsi="PT Astra Serif"/>
                <w:b w:val="false"/>
                <w:bCs w:val="false"/>
                <w:color w:val="000000"/>
                <w:sz w:val="28"/>
                <w:szCs w:val="28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b w:val="false"/>
                <w:bCs w:val="false"/>
                <w:color w:val="000000"/>
                <w:sz w:val="28"/>
                <w:szCs w:val="28"/>
                <w:shd w:fill="auto" w:val="clear"/>
              </w:rPr>
              <w:t>Об утверждении муниципальной программы «Управление муниципальными финансами Анжеро-Судженского городского округа»</w:t>
            </w:r>
          </w:p>
          <w:p>
            <w:pPr>
              <w:pStyle w:val="Normal"/>
              <w:widowControl w:val="false"/>
              <w:ind w:hanging="0"/>
              <w:jc w:val="left"/>
              <w:rPr>
                <w:rFonts w:ascii="PT Astra Serif" w:hAnsi="PT Astra Serif"/>
                <w:b w:val="false"/>
                <w:bCs w:val="false"/>
                <w:color w:val="000000"/>
                <w:sz w:val="28"/>
                <w:szCs w:val="28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b w:val="false"/>
                <w:bCs w:val="false"/>
                <w:color w:val="000000"/>
                <w:sz w:val="28"/>
                <w:szCs w:val="28"/>
                <w:shd w:fill="auto" w:val="clear"/>
              </w:rPr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napToGrid w:val="false"/>
              <w:jc w:val="left"/>
              <w:rPr>
                <w:rFonts w:ascii="PT Astra Serif" w:hAnsi="PT Astra Serif"/>
                <w:b w:val="false"/>
                <w:bCs w:val="false"/>
                <w:color w:val="000000"/>
                <w:sz w:val="28"/>
                <w:szCs w:val="28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b w:val="false"/>
                <w:bCs w:val="false"/>
                <w:color w:val="000000"/>
                <w:sz w:val="28"/>
                <w:szCs w:val="28"/>
                <w:shd w:fill="auto" w:val="clear"/>
              </w:rPr>
              <w:t xml:space="preserve">От </w:t>
            </w:r>
          </w:p>
          <w:p>
            <w:pPr>
              <w:pStyle w:val="TableParagraph"/>
              <w:widowControl w:val="false"/>
              <w:snapToGrid w:val="false"/>
              <w:jc w:val="left"/>
              <w:rPr>
                <w:rFonts w:ascii="PT Astra Serif" w:hAnsi="PT Astra Serif"/>
                <w:b w:val="false"/>
                <w:bCs w:val="false"/>
                <w:color w:val="000000"/>
                <w:sz w:val="28"/>
                <w:szCs w:val="28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b w:val="false"/>
                <w:bCs w:val="false"/>
                <w:color w:val="000000"/>
                <w:sz w:val="28"/>
                <w:szCs w:val="28"/>
                <w:shd w:fill="auto" w:val="clear"/>
              </w:rPr>
              <w:t>№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widowControl w:val="false"/>
              <w:spacing w:lineRule="auto" w:line="240" w:before="0" w:after="0"/>
              <w:jc w:val="left"/>
              <w:rPr>
                <w:rFonts w:ascii="PT Astra Serif" w:hAnsi="PT Astra Serif"/>
                <w:b w:val="false"/>
                <w:bCs w:val="false"/>
                <w:color w:val="000000"/>
                <w:sz w:val="28"/>
                <w:szCs w:val="28"/>
                <w:highlight w:val="none"/>
                <w:shd w:fill="auto" w:val="clear"/>
              </w:rPr>
            </w:pPr>
            <w:r>
              <w:rPr>
                <w:rFonts w:cs="Times New Roman" w:ascii="PT Astra Serif" w:hAnsi="PT Astra Serif"/>
                <w:b w:val="false"/>
                <w:bCs w:val="false"/>
                <w:color w:val="000000"/>
                <w:sz w:val="28"/>
                <w:szCs w:val="28"/>
                <w:shd w:fill="auto" w:val="clear"/>
              </w:rPr>
              <w:t>Финансовое управление администрации Анжеро-Судженского городского округа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numPr>
                <w:ilvl w:val="0"/>
                <w:numId w:val="0"/>
              </w:numPr>
              <w:ind w:left="0" w:hanging="0"/>
              <w:jc w:val="left"/>
              <w:outlineLvl w:val="1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  <w:shd w:fill="auto" w:val="clear"/>
              </w:rPr>
              <w:t xml:space="preserve">Приложение </w:t>
            </w:r>
            <w:r>
              <w:rPr>
                <w:rFonts w:ascii="PT Astra Serif" w:hAnsi="PT Astra Serif"/>
                <w:color w:val="000000"/>
                <w:sz w:val="28"/>
                <w:szCs w:val="28"/>
                <w:u w:val="none"/>
                <w:shd w:fill="auto" w:val="clear"/>
              </w:rPr>
              <w:t>3</w:t>
            </w:r>
          </w:p>
          <w:p>
            <w:pPr>
              <w:pStyle w:val="ConsPlusNormal1"/>
              <w:widowControl w:val="false"/>
              <w:ind w:hanging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  <w:shd w:fill="auto" w:val="clear"/>
              </w:rPr>
              <w:t>к муниципальной программе «Управление муниципальными</w:t>
            </w:r>
          </w:p>
          <w:p>
            <w:pPr>
              <w:pStyle w:val="ConsPlusNormal1"/>
              <w:widowControl w:val="false"/>
              <w:ind w:hanging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финансами Анжеро-Судженского городского округа»</w:t>
            </w:r>
          </w:p>
        </w:tc>
      </w:tr>
      <w:tr>
        <w:trPr>
          <w:trHeight w:val="230" w:hRule="atLeast"/>
        </w:trPr>
        <w:tc>
          <w:tcPr>
            <w:tcW w:w="1416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jc w:val="center"/>
              <w:rPr>
                <w:rFonts w:ascii="PT Astra Serif" w:hAnsi="PT Astra Serif"/>
                <w:color w:val="000000"/>
                <w:sz w:val="28"/>
                <w:szCs w:val="28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pacing w:val="-4"/>
                <w:sz w:val="28"/>
                <w:szCs w:val="28"/>
                <w:shd w:fill="auto" w:val="clear"/>
              </w:rPr>
              <w:t xml:space="preserve">2 </w:t>
            </w:r>
            <w:r>
              <w:rPr>
                <w:rFonts w:ascii="PT Astra Serif" w:hAnsi="PT Astra Serif"/>
                <w:color w:val="000000"/>
                <w:sz w:val="28"/>
                <w:szCs w:val="28"/>
                <w:shd w:fill="auto" w:val="clear"/>
              </w:rPr>
              <w:t>Структурный</w:t>
            </w:r>
            <w:r>
              <w:rPr>
                <w:rFonts w:ascii="PT Astra Serif" w:hAnsi="PT Astra Serif"/>
                <w:color w:val="000000"/>
                <w:spacing w:val="-2"/>
                <w:sz w:val="28"/>
                <w:szCs w:val="28"/>
                <w:shd w:fill="auto" w:val="clear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8"/>
                <w:szCs w:val="28"/>
                <w:shd w:fill="auto" w:val="clear"/>
              </w:rPr>
              <w:t>элемент</w:t>
            </w:r>
            <w:r>
              <w:rPr>
                <w:rFonts w:ascii="PT Astra Serif" w:hAnsi="PT Astra Serif"/>
                <w:i/>
                <w:iCs/>
                <w:color w:val="000000"/>
                <w:spacing w:val="-3"/>
                <w:sz w:val="28"/>
                <w:szCs w:val="28"/>
                <w:shd w:fill="auto" w:val="clear"/>
              </w:rPr>
              <w:t xml:space="preserve"> </w:t>
            </w:r>
            <w:bookmarkStart w:id="26" w:name="__DdeLink__4868_1800157355_Копия_1"/>
            <w:bookmarkStart w:id="27" w:name="__DdeLink__5549_857802040"/>
            <w:r>
              <w:rPr>
                <w:rFonts w:ascii="PT Astra Serif" w:hAnsi="PT Astra Serif"/>
                <w:i/>
                <w:iCs/>
                <w:color w:val="000000"/>
                <w:sz w:val="28"/>
                <w:szCs w:val="28"/>
                <w:shd w:fill="auto" w:val="clear"/>
              </w:rPr>
              <w:t>«Комплекс процессных мероприятий «Управление муниципальным долгом»</w:t>
            </w:r>
            <w:bookmarkEnd w:id="27"/>
            <w:r>
              <w:rPr>
                <w:rFonts w:ascii="PT Astra Serif" w:hAnsi="PT Astra Serif"/>
                <w:i/>
                <w:iCs/>
                <w:color w:val="000000"/>
                <w:sz w:val="28"/>
                <w:szCs w:val="28"/>
                <w:shd w:fill="auto" w:val="clear"/>
              </w:rPr>
              <w:t xml:space="preserve"> </w:t>
            </w:r>
            <w:bookmarkEnd w:id="26"/>
          </w:p>
        </w:tc>
      </w:tr>
      <w:tr>
        <w:trPr>
          <w:trHeight w:val="230" w:hRule="atLeast"/>
        </w:trPr>
        <w:tc>
          <w:tcPr>
            <w:tcW w:w="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jc w:val="center"/>
              <w:rPr>
                <w:rFonts w:ascii="PT Astra Serif" w:hAnsi="PT Astra Serif"/>
                <w:color w:val="000000"/>
                <w:sz w:val="28"/>
                <w:szCs w:val="28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  <w:shd w:fill="auto" w:val="clear"/>
              </w:rPr>
              <w:t>1.</w:t>
            </w:r>
          </w:p>
        </w:tc>
        <w:tc>
          <w:tcPr>
            <w:tcW w:w="2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napToGrid w:val="false"/>
              <w:jc w:val="both"/>
              <w:rPr>
                <w:i w:val="false"/>
                <w:i w:val="false"/>
                <w:iCs w:val="false"/>
              </w:rPr>
            </w:pPr>
            <w:r>
              <w:rPr>
                <w:rFonts w:ascii="PT Astra Serif" w:hAnsi="PT Astra Serif"/>
                <w:b w:val="false"/>
                <w:bCs w:val="false"/>
                <w:i w:val="false"/>
                <w:iCs w:val="false"/>
                <w:color w:val="000000"/>
                <w:sz w:val="28"/>
                <w:szCs w:val="28"/>
                <w:shd w:fill="auto" w:val="clear"/>
              </w:rPr>
              <w:t xml:space="preserve">Паспорт комплекса процессных мероприя-тий </w:t>
            </w:r>
            <w:r>
              <w:rPr>
                <w:rFonts w:ascii="PT Astra Serif" w:hAnsi="PT Astra Serif"/>
                <w:i w:val="false"/>
                <w:iCs w:val="false"/>
                <w:color w:val="000000"/>
                <w:sz w:val="28"/>
                <w:szCs w:val="28"/>
                <w:shd w:fill="auto" w:val="clear"/>
              </w:rPr>
              <w:t>«Управление муниципальным долгом»</w:t>
            </w:r>
          </w:p>
        </w:tc>
        <w:tc>
          <w:tcPr>
            <w:tcW w:w="20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napToGrid w:val="false"/>
              <w:jc w:val="left"/>
              <w:rPr>
                <w:rFonts w:ascii="PT Astra Serif" w:hAnsi="PT Astra Serif"/>
                <w:b w:val="false"/>
                <w:bCs w:val="false"/>
                <w:color w:val="000000"/>
                <w:sz w:val="28"/>
                <w:szCs w:val="28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b w:val="false"/>
                <w:bCs w:val="false"/>
                <w:color w:val="000000"/>
                <w:sz w:val="28"/>
                <w:szCs w:val="28"/>
                <w:shd w:fill="auto" w:val="clear"/>
              </w:rPr>
              <w:t>Постановление администрации Анжеро-Суженского городского округа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0"/>
              <w:jc w:val="left"/>
              <w:rPr>
                <w:rFonts w:ascii="PT Astra Serif" w:hAnsi="PT Astra Serif"/>
                <w:b w:val="false"/>
                <w:bCs w:val="false"/>
                <w:color w:val="000000"/>
                <w:sz w:val="28"/>
                <w:szCs w:val="28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b w:val="false"/>
                <w:bCs w:val="false"/>
                <w:color w:val="000000"/>
                <w:sz w:val="28"/>
                <w:szCs w:val="28"/>
                <w:shd w:fill="auto" w:val="clear"/>
              </w:rPr>
              <w:t>Об утверждении муниципальной программы «Управление муниципальными финансами Анжеро-Судженского городского округа»</w:t>
            </w:r>
          </w:p>
        </w:tc>
        <w:tc>
          <w:tcPr>
            <w:tcW w:w="2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napToGrid w:val="false"/>
              <w:jc w:val="left"/>
              <w:rPr>
                <w:rFonts w:ascii="PT Astra Serif" w:hAnsi="PT Astra Serif"/>
                <w:b w:val="false"/>
                <w:bCs w:val="false"/>
                <w:color w:val="000000"/>
                <w:sz w:val="28"/>
                <w:szCs w:val="28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b w:val="false"/>
                <w:bCs w:val="false"/>
                <w:color w:val="000000"/>
                <w:sz w:val="28"/>
                <w:szCs w:val="28"/>
                <w:shd w:fill="auto" w:val="clear"/>
              </w:rPr>
              <w:t xml:space="preserve">От </w:t>
            </w:r>
          </w:p>
          <w:p>
            <w:pPr>
              <w:pStyle w:val="TableParagraph"/>
              <w:widowControl w:val="false"/>
              <w:snapToGrid w:val="false"/>
              <w:jc w:val="left"/>
              <w:rPr>
                <w:rFonts w:ascii="PT Astra Serif" w:hAnsi="PT Astra Serif"/>
                <w:b w:val="false"/>
                <w:bCs w:val="false"/>
                <w:color w:val="000000"/>
                <w:sz w:val="28"/>
                <w:szCs w:val="28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b w:val="false"/>
                <w:bCs w:val="false"/>
                <w:color w:val="000000"/>
                <w:sz w:val="28"/>
                <w:szCs w:val="28"/>
                <w:shd w:fill="auto" w:val="clear"/>
              </w:rPr>
              <w:t>№</w:t>
            </w:r>
          </w:p>
        </w:tc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widowControl w:val="false"/>
              <w:spacing w:lineRule="auto" w:line="240" w:before="0" w:after="0"/>
              <w:jc w:val="left"/>
              <w:rPr>
                <w:rFonts w:ascii="PT Astra Serif" w:hAnsi="PT Astra Serif"/>
                <w:b w:val="false"/>
                <w:bCs w:val="false"/>
                <w:color w:val="000000"/>
                <w:sz w:val="28"/>
                <w:szCs w:val="28"/>
                <w:highlight w:val="none"/>
                <w:shd w:fill="auto" w:val="clear"/>
              </w:rPr>
            </w:pPr>
            <w:r>
              <w:rPr>
                <w:rFonts w:cs="Times New Roman" w:ascii="PT Astra Serif" w:hAnsi="PT Astra Serif"/>
                <w:b w:val="false"/>
                <w:bCs w:val="false"/>
                <w:color w:val="000000"/>
                <w:sz w:val="28"/>
                <w:szCs w:val="28"/>
                <w:shd w:fill="auto" w:val="clear"/>
              </w:rPr>
              <w:t>Финансовое управление администрации Анжеро-Судженского городского округа</w:t>
            </w:r>
          </w:p>
        </w:tc>
        <w:tc>
          <w:tcPr>
            <w:tcW w:w="2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numPr>
                <w:ilvl w:val="0"/>
                <w:numId w:val="0"/>
              </w:numPr>
              <w:ind w:left="0" w:hanging="0"/>
              <w:jc w:val="left"/>
              <w:outlineLvl w:val="1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  <w:shd w:fill="auto" w:val="clear"/>
              </w:rPr>
              <w:t xml:space="preserve">Приложение </w:t>
            </w:r>
            <w:r>
              <w:rPr>
                <w:rFonts w:ascii="PT Astra Serif" w:hAnsi="PT Astra Serif"/>
                <w:color w:val="000000"/>
                <w:sz w:val="28"/>
                <w:szCs w:val="28"/>
                <w:u w:val="none"/>
                <w:shd w:fill="auto" w:val="clear"/>
              </w:rPr>
              <w:t>4</w:t>
            </w:r>
          </w:p>
          <w:p>
            <w:pPr>
              <w:pStyle w:val="ConsPlusNormal1"/>
              <w:widowControl w:val="false"/>
              <w:ind w:hanging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  <w:shd w:fill="auto" w:val="clear"/>
              </w:rPr>
              <w:t>к муниципальной программе «Управление муниципальными</w:t>
            </w:r>
          </w:p>
          <w:p>
            <w:pPr>
              <w:pStyle w:val="ConsPlusNormal1"/>
              <w:widowControl w:val="false"/>
              <w:ind w:hanging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финансами Анжеро-Судженского городского округа»</w:t>
            </w:r>
          </w:p>
        </w:tc>
      </w:tr>
    </w:tbl>
    <w:p>
      <w:pPr>
        <w:sectPr>
          <w:headerReference w:type="default" r:id="rId6"/>
          <w:headerReference w:type="first" r:id="rId7"/>
          <w:footerReference w:type="default" r:id="rId8"/>
          <w:footerReference w:type="first" r:id="rId9"/>
          <w:type w:val="nextPage"/>
          <w:pgSz w:orient="landscape" w:w="16838" w:h="11906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100" w:charSpace="0"/>
        </w:sectPr>
      </w:pPr>
      <w:r>
        <w:br w:type="page"/>
      </w:r>
    </w:p>
    <w:p>
      <w:pPr>
        <w:pStyle w:val="ConsPlusNormal1"/>
        <w:numPr>
          <w:ilvl w:val="0"/>
          <w:numId w:val="0"/>
        </w:numPr>
        <w:ind w:left="0" w:right="0" w:hanging="0"/>
        <w:jc w:val="right"/>
        <w:outlineLvl w:val="1"/>
        <w:rPr>
          <w:rFonts w:ascii="Times New Roman" w:hAnsi="Times New Roman"/>
        </w:rPr>
      </w:pPr>
      <w:bookmarkStart w:id="28" w:name="__DdeLink__5535_857802040_Копия_1"/>
      <w:r>
        <w:rPr>
          <w:rFonts w:ascii="Times New Roman" w:hAnsi="Times New Roman"/>
          <w:color w:val="000000"/>
          <w:sz w:val="28"/>
          <w:szCs w:val="28"/>
          <w:shd w:fill="auto" w:val="clear"/>
        </w:rPr>
        <w:t xml:space="preserve">Приложение </w:t>
      </w:r>
      <w:r>
        <w:rPr>
          <w:rFonts w:ascii="Times New Roman" w:hAnsi="Times New Roman"/>
          <w:color w:val="000000"/>
          <w:sz w:val="28"/>
          <w:szCs w:val="28"/>
          <w:u w:val="none"/>
          <w:shd w:fill="auto" w:val="clear"/>
        </w:rPr>
        <w:t>2</w:t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к муниципальной программе «Управление муниципальными</w:t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финансами Анжеро-Судженского городского округа»,</w:t>
      </w:r>
    </w:p>
    <w:p>
      <w:pPr>
        <w:pStyle w:val="14"/>
        <w:shd w:val="clear" w:color="auto" w:fill="auto"/>
        <w:spacing w:lineRule="auto" w:line="240" w:before="0" w:after="0"/>
        <w:ind w:hanging="0"/>
        <w:jc w:val="right"/>
        <w:rPr>
          <w:rFonts w:ascii="Times New Roman" w:hAnsi="Times New Roman"/>
        </w:rPr>
      </w:pPr>
      <w:r>
        <w:rPr>
          <w:color w:val="000000"/>
          <w:shd w:fill="auto" w:val="clear"/>
        </w:rPr>
        <w:t xml:space="preserve">утвержденной постановлением администрации </w:t>
      </w:r>
    </w:p>
    <w:p>
      <w:pPr>
        <w:pStyle w:val="14"/>
        <w:shd w:val="clear" w:color="auto" w:fill="auto"/>
        <w:spacing w:lineRule="auto" w:line="240" w:before="0" w:after="0"/>
        <w:ind w:left="4253" w:hanging="0"/>
        <w:jc w:val="right"/>
        <w:rPr>
          <w:rFonts w:ascii="Times New Roman" w:hAnsi="Times New Roman"/>
        </w:rPr>
      </w:pPr>
      <w:r>
        <w:rPr>
          <w:color w:val="000000"/>
          <w:shd w:fill="auto" w:val="clear"/>
        </w:rPr>
        <w:t xml:space="preserve"> </w:t>
      </w:r>
      <w:r>
        <w:rPr>
          <w:color w:val="000000"/>
          <w:shd w:fill="auto" w:val="clear"/>
        </w:rPr>
        <w:t xml:space="preserve">Анжеро-Судженского городского округа </w:t>
      </w:r>
      <w:bookmarkEnd w:id="28"/>
    </w:p>
    <w:p>
      <w:pPr>
        <w:pStyle w:val="14"/>
        <w:shd w:val="clear" w:color="auto" w:fill="auto"/>
        <w:spacing w:lineRule="auto" w:line="240" w:before="0" w:after="0"/>
        <w:ind w:left="4536" w:hanging="0"/>
        <w:jc w:val="right"/>
        <w:rPr>
          <w:rFonts w:ascii="Times New Roman" w:hAnsi="Times New Roman"/>
        </w:rPr>
      </w:pPr>
      <w:r>
        <w:rPr>
          <w:color w:val="000000"/>
          <w:sz w:val="28"/>
          <w:szCs w:val="28"/>
          <w:u w:val="none"/>
          <w:shd w:fill="auto" w:val="clear"/>
        </w:rPr>
        <w:t xml:space="preserve">      </w:t>
      </w:r>
      <w:r>
        <w:rPr>
          <w:color w:val="000000"/>
          <w:sz w:val="28"/>
          <w:szCs w:val="28"/>
          <w:u w:val="none"/>
          <w:shd w:fill="auto" w:val="clear"/>
        </w:rPr>
        <w:t xml:space="preserve">от _________________   № ________ </w:t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1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1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1"/>
        <w:rPr>
          <w:color w:val="000000"/>
          <w:highlight w:val="none"/>
          <w:shd w:fill="auto" w:val="clear"/>
        </w:rPr>
      </w:pPr>
      <w:bookmarkStart w:id="29" w:name="__DdeLink__10496_1726305717"/>
      <w:bookmarkEnd w:id="29"/>
      <w:r>
        <w:rPr>
          <w:rFonts w:ascii="PT Astra Serif" w:hAnsi="PT Astra Serif"/>
          <w:color w:val="000000"/>
          <w:sz w:val="28"/>
          <w:szCs w:val="28"/>
          <w:shd w:fill="auto" w:val="clear"/>
        </w:rPr>
        <w:t>Паспорт</w:t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1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Title"/>
        <w:jc w:val="center"/>
        <w:rPr>
          <w:color w:val="000000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  <w:t xml:space="preserve">муниципальной программы </w:t>
      </w:r>
    </w:p>
    <w:p>
      <w:pPr>
        <w:pStyle w:val="ConsPlusTitle"/>
        <w:jc w:val="center"/>
        <w:rPr>
          <w:color w:val="000000"/>
          <w:highlight w:val="none"/>
          <w:shd w:fill="auto" w:val="clear"/>
        </w:rPr>
      </w:pPr>
      <w:bookmarkStart w:id="30" w:name="__DdeLink__4830_1800157355"/>
      <w:r>
        <w:rPr>
          <w:rFonts w:ascii="PT Astra Serif" w:hAnsi="PT Astra Serif"/>
          <w:color w:val="000000"/>
          <w:sz w:val="28"/>
          <w:szCs w:val="28"/>
          <w:shd w:fill="auto" w:val="clear"/>
        </w:rPr>
        <w:t xml:space="preserve">«Управление муниципальными финансами </w:t>
      </w:r>
    </w:p>
    <w:p>
      <w:pPr>
        <w:pStyle w:val="ConsPlusTitle"/>
        <w:jc w:val="center"/>
        <w:rPr>
          <w:color w:val="000000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  <w:t>А</w:t>
      </w:r>
      <w:bookmarkStart w:id="31" w:name="__DdeLink__9784_3429019520"/>
      <w:bookmarkStart w:id="32" w:name="__DdeLink__7176_2425862386"/>
      <w:r>
        <w:rPr>
          <w:rFonts w:ascii="PT Astra Serif" w:hAnsi="PT Astra Serif"/>
          <w:color w:val="000000"/>
          <w:sz w:val="28"/>
          <w:szCs w:val="28"/>
          <w:shd w:fill="auto" w:val="clear"/>
        </w:rPr>
        <w:t>нжеро-Судженского городского округа</w:t>
      </w:r>
      <w:bookmarkEnd w:id="31"/>
      <w:bookmarkEnd w:id="32"/>
      <w:r>
        <w:rPr>
          <w:rFonts w:ascii="PT Astra Serif" w:hAnsi="PT Astra Serif"/>
          <w:color w:val="000000"/>
          <w:sz w:val="28"/>
          <w:szCs w:val="28"/>
          <w:shd w:fill="auto" w:val="clear"/>
        </w:rPr>
        <w:t>»</w:t>
      </w:r>
      <w:bookmarkEnd w:id="30"/>
    </w:p>
    <w:p>
      <w:pPr>
        <w:pStyle w:val="ConsPlusNormal1"/>
        <w:jc w:val="both"/>
        <w:rPr>
          <w:rFonts w:ascii="PT Astra Serif" w:hAnsi="PT Astra Serif"/>
          <w:color w:val="000000"/>
          <w:sz w:val="12"/>
          <w:szCs w:val="12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12"/>
          <w:szCs w:val="12"/>
          <w:shd w:fill="auto" w:val="clear"/>
        </w:rPr>
      </w:r>
      <w:bookmarkStart w:id="33" w:name="__DdeLink__10496_1726305717_Копия_1"/>
      <w:bookmarkStart w:id="34" w:name="__DdeLink__10496_1726305717_Копия_1"/>
      <w:bookmarkEnd w:id="34"/>
    </w:p>
    <w:p>
      <w:pPr>
        <w:pStyle w:val="ConsPlusNormal1"/>
        <w:jc w:val="both"/>
        <w:rPr>
          <w:rFonts w:ascii="PT Astra Serif" w:hAnsi="PT Astra Serif"/>
          <w:color w:val="000000"/>
          <w:sz w:val="12"/>
          <w:szCs w:val="12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12"/>
          <w:szCs w:val="12"/>
          <w:shd w:fill="auto" w:val="clear"/>
        </w:rPr>
      </w:r>
    </w:p>
    <w:p>
      <w:pPr>
        <w:pStyle w:val="ConsPlusNormal1"/>
        <w:jc w:val="both"/>
        <w:rPr>
          <w:rFonts w:ascii="PT Astra Serif" w:hAnsi="PT Astra Serif"/>
          <w:color w:val="000000"/>
          <w:sz w:val="12"/>
          <w:szCs w:val="12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12"/>
          <w:szCs w:val="12"/>
          <w:shd w:fill="auto" w:val="clear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color w:val="000000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  <w:t>1. Основные положения</w:t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Normal1"/>
        <w:jc w:val="both"/>
        <w:rPr>
          <w:color w:val="000000"/>
          <w:sz w:val="12"/>
          <w:szCs w:val="12"/>
          <w:highlight w:val="none"/>
          <w:shd w:fill="auto" w:val="clear"/>
        </w:rPr>
      </w:pPr>
      <w:r>
        <w:rPr>
          <w:color w:val="000000"/>
          <w:sz w:val="12"/>
          <w:szCs w:val="12"/>
          <w:shd w:fill="auto" w:val="clear"/>
        </w:rPr>
      </w:r>
    </w:p>
    <w:tbl>
      <w:tblPr>
        <w:tblW w:w="9350" w:type="dxa"/>
        <w:jc w:val="righ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HBand="0" w:noVBand="1" w:firstColumn="1" w:lastRow="0" w:lastColumn="0" w:firstRow="1"/>
      </w:tblPr>
      <w:tblGrid>
        <w:gridCol w:w="3912"/>
        <w:gridCol w:w="5437"/>
      </w:tblGrid>
      <w:tr>
        <w:trPr/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lineRule="auto" w:line="240" w:before="0" w:after="0"/>
              <w:ind w:hanging="0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  <w:shd w:fill="auto" w:val="clear"/>
              </w:rPr>
              <w:t>Куратор муниципальной программы</w:t>
            </w:r>
          </w:p>
        </w:tc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Глава Анжеро-Судженского городского округа</w:t>
            </w:r>
          </w:p>
        </w:tc>
      </w:tr>
      <w:tr>
        <w:trPr/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lineRule="auto" w:line="240" w:before="0" w:after="0"/>
              <w:ind w:hanging="0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  <w:shd w:fill="auto" w:val="clear"/>
              </w:rPr>
              <w:t>Ответственный исполнитель муниципальной программы</w:t>
            </w:r>
          </w:p>
        </w:tc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widowControl w:val="false"/>
              <w:spacing w:lineRule="auto" w:line="240" w:before="0" w:after="0"/>
              <w:jc w:val="both"/>
              <w:rPr>
                <w:color w:val="000000"/>
                <w:highlight w:val="none"/>
                <w:shd w:fill="auto" w:val="clear"/>
              </w:rPr>
            </w:pPr>
            <w:bookmarkStart w:id="35" w:name="__DdeLink__4838_1800157355"/>
            <w:r>
              <w:rPr>
                <w:rFonts w:cs="Times New Roman" w:ascii="Times New Roman" w:hAnsi="Times New Roman"/>
                <w:color w:val="000000"/>
                <w:sz w:val="28"/>
                <w:szCs w:val="28"/>
                <w:shd w:fill="auto" w:val="clear"/>
              </w:rPr>
              <w:t>Финансовое управление администрации Анжеро-Судженского городского округа</w:t>
            </w:r>
            <w:bookmarkEnd w:id="35"/>
          </w:p>
          <w:p>
            <w:pPr>
              <w:pStyle w:val="ConsPlusCell"/>
              <w:widowControl w:val="false"/>
              <w:spacing w:lineRule="auto" w:line="240" w:before="0" w:after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</w:tr>
      <w:tr>
        <w:trPr/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lineRule="auto" w:line="240" w:before="0" w:after="0"/>
              <w:ind w:hanging="0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  <w:shd w:fill="auto" w:val="clear"/>
              </w:rPr>
              <w:t>Период реализации муниципальной программы</w:t>
            </w:r>
          </w:p>
        </w:tc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lineRule="auto" w:line="240" w:before="0" w:after="0"/>
              <w:ind w:hanging="0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  <w:shd w:fill="auto" w:val="clear"/>
              </w:rPr>
              <w:t>2026 - 2030 годы</w:t>
            </w:r>
          </w:p>
        </w:tc>
      </w:tr>
      <w:tr>
        <w:trPr/>
        <w:tc>
          <w:tcPr>
            <w:tcW w:w="3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lineRule="auto" w:line="240" w:before="0" w:after="0"/>
              <w:ind w:hanging="0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  <w:shd w:fill="auto" w:val="clear"/>
              </w:rPr>
              <w:t>Цели муниципальной программы</w:t>
            </w:r>
          </w:p>
        </w:tc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lineRule="auto" w:line="240" w:before="0" w:after="0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  <w:shd w:fill="auto" w:val="clear"/>
              </w:rPr>
              <w:t>Цель 1: «</w:t>
            </w:r>
            <w:bookmarkStart w:id="36" w:name="__DdeLink__13665_4140419480"/>
            <w:r>
              <w:rPr>
                <w:rFonts w:ascii="PT Astra Serif" w:hAnsi="PT Astra Serif"/>
                <w:color w:val="000000"/>
                <w:sz w:val="28"/>
                <w:szCs w:val="28"/>
                <w:shd w:fill="auto" w:val="clear"/>
              </w:rPr>
              <w:t>Обеспечение стабильных экономических условий за счет соблюдения долгосрочных принципов устойчивости и сбалансированности бюджетной системы</w:t>
            </w:r>
            <w:bookmarkEnd w:id="36"/>
            <w:r>
              <w:rPr>
                <w:rFonts w:ascii="PT Astra Serif" w:hAnsi="PT Astra Serif"/>
                <w:color w:val="000000"/>
                <w:sz w:val="28"/>
                <w:szCs w:val="28"/>
                <w:shd w:fill="auto" w:val="clear"/>
              </w:rPr>
              <w:t>»</w:t>
            </w:r>
          </w:p>
        </w:tc>
      </w:tr>
      <w:tr>
        <w:trPr>
          <w:trHeight w:val="3025" w:hRule="atLeast"/>
        </w:trPr>
        <w:tc>
          <w:tcPr>
            <w:tcW w:w="39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lineRule="auto" w:line="240" w:before="0" w:after="0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  <w:shd w:fill="auto" w:val="clear"/>
              </w:rPr>
              <w:t>Цель 2: «Сохранение соотношения муниципального долга Анжеро-Судженского городского округа по отношению к общему годовому объему доходов бюджета без учета утвержденного объема безвозмездных поступлений и  поступлений налоговых доходов по дополнительным нормативам отчислений от налога на доходы физических лиц в пределах ограничений, установленных ст. 107 Бюджетного Кодекса Российской Федерации»</w:t>
            </w:r>
          </w:p>
        </w:tc>
      </w:tr>
      <w:tr>
        <w:trPr/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lineRule="auto" w:line="240" w:before="0" w:after="0"/>
              <w:ind w:hanging="0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  <w:shd w:fill="auto" w:val="clear"/>
              </w:rPr>
              <w:t>Направления (подпрограммы) муниципальной программы</w:t>
            </w:r>
          </w:p>
        </w:tc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lineRule="auto" w:line="240" w:before="0" w:after="0"/>
              <w:ind w:hanging="0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  <w:shd w:fill="auto" w:val="clear"/>
              </w:rPr>
              <w:t>-</w:t>
            </w:r>
          </w:p>
        </w:tc>
      </w:tr>
      <w:tr>
        <w:trPr>
          <w:trHeight w:val="370" w:hRule="atLeast"/>
        </w:trPr>
        <w:tc>
          <w:tcPr>
            <w:tcW w:w="391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lineRule="auto" w:line="240" w:before="0" w:after="0"/>
              <w:ind w:hanging="0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  <w:shd w:fill="auto" w:val="clear"/>
              </w:rPr>
              <w:t>Связь с национальными целями развития Российской Федерации/ государственной программой Российской Федерации</w:t>
            </w:r>
          </w:p>
        </w:tc>
        <w:tc>
          <w:tcPr>
            <w:tcW w:w="54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lineRule="auto" w:line="240" w:before="0" w:after="0"/>
              <w:ind w:hanging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  <w:shd w:fill="auto" w:val="clear"/>
              </w:rPr>
              <w:t xml:space="preserve">Устойчивая и динамичная экономика (в соответствии с абз. а п. 6 Указа Президента РФ от 07.05.2024 N 309 "О национальных целях развития Российской Федерации на период до 2030 года и на перспективу до 2036 года" определена цель: </w:t>
            </w:r>
            <w:bookmarkStart w:id="37" w:name="__DdeLink__11433_4033938431_Копия_1"/>
            <w:r>
              <w:rPr>
                <w:rFonts w:ascii="PT Astra Serif" w:hAnsi="PT Astra Serif"/>
                <w:color w:val="000000"/>
                <w:sz w:val="28"/>
                <w:szCs w:val="28"/>
                <w:shd w:fill="auto" w:val="clear"/>
              </w:rPr>
              <w:t>Обеспечение темпа роста валового внутреннего продукта страны выше среднемирового и выход не позднее 2030 года на четвертое место в мире по объему валового внутреннего продукта, рассчитанного по паритету покупательной способности, в том числе за счет роста производительности труда, при сохранении макроэкономической стабильности, низкого уровня безработицы и снижении уровня структурной безработицы</w:t>
            </w:r>
            <w:bookmarkEnd w:id="37"/>
            <w:r>
              <w:rPr>
                <w:rFonts w:ascii="PT Astra Serif" w:hAnsi="PT Astra Serif"/>
                <w:color w:val="000000"/>
                <w:sz w:val="28"/>
                <w:szCs w:val="28"/>
                <w:shd w:fill="auto" w:val="clear"/>
              </w:rPr>
              <w:t>)</w:t>
            </w:r>
          </w:p>
        </w:tc>
      </w:tr>
      <w:tr>
        <w:trPr/>
        <w:tc>
          <w:tcPr>
            <w:tcW w:w="39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000000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lineRule="auto" w:line="240" w:before="0" w:after="0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  <w:shd w:fill="auto" w:val="clear"/>
              </w:rPr>
              <w:t>Связь с государственной программой Российской Федерации, с государственной программой Кемеровской области - Кузбасса отсутствует</w:t>
            </w:r>
          </w:p>
        </w:tc>
      </w:tr>
    </w:tbl>
    <w:p>
      <w:pPr>
        <w:sectPr>
          <w:headerReference w:type="default" r:id="rId10"/>
          <w:headerReference w:type="first" r:id="rId11"/>
          <w:footerReference w:type="default" r:id="rId12"/>
          <w:footerReference w:type="first" r:id="rId13"/>
          <w:type w:val="nextPage"/>
          <w:pgSz w:w="11906" w:h="16838"/>
          <w:pgMar w:left="1701" w:right="850" w:gutter="0" w:header="426" w:top="1134" w:footer="0" w:bottom="827"/>
          <w:pgNumType w:fmt="decimal"/>
          <w:formProt w:val="false"/>
          <w:textDirection w:val="lrTb"/>
          <w:docGrid w:type="default" w:linePitch="326" w:charSpace="0"/>
        </w:sectPr>
      </w:pPr>
      <w:r>
        <w:br w:type="page"/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color w:val="000000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  <w:t xml:space="preserve">2. </w:t>
      </w:r>
      <w:bookmarkStart w:id="38" w:name="__DdeLink__4849_1800157355"/>
      <w:r>
        <w:rPr>
          <w:rFonts w:ascii="PT Astra Serif" w:hAnsi="PT Astra Serif"/>
          <w:color w:val="000000"/>
          <w:sz w:val="28"/>
          <w:szCs w:val="28"/>
          <w:shd w:fill="auto" w:val="clear"/>
        </w:rPr>
        <w:t>Показатели муниципальной программы</w:t>
      </w:r>
      <w:bookmarkEnd w:id="38"/>
    </w:p>
    <w:tbl>
      <w:tblPr>
        <w:tblW w:w="14570" w:type="dxa"/>
        <w:jc w:val="left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HBand="0" w:noVBand="1" w:firstColumn="1" w:lastRow="0" w:lastColumn="0" w:firstRow="1"/>
      </w:tblPr>
      <w:tblGrid>
        <w:gridCol w:w="438"/>
        <w:gridCol w:w="2397"/>
        <w:gridCol w:w="689"/>
        <w:gridCol w:w="842"/>
        <w:gridCol w:w="630"/>
        <w:gridCol w:w="613"/>
        <w:gridCol w:w="797"/>
        <w:gridCol w:w="571"/>
        <w:gridCol w:w="675"/>
        <w:gridCol w:w="689"/>
        <w:gridCol w:w="616"/>
        <w:gridCol w:w="653"/>
        <w:gridCol w:w="1412"/>
        <w:gridCol w:w="1419"/>
        <w:gridCol w:w="2129"/>
      </w:tblGrid>
      <w:tr>
        <w:trPr/>
        <w:tc>
          <w:tcPr>
            <w:tcW w:w="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N п/п</w:t>
            </w:r>
          </w:p>
        </w:tc>
        <w:tc>
          <w:tcPr>
            <w:tcW w:w="2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Наименование показателя</w:t>
            </w:r>
          </w:p>
        </w:tc>
        <w:tc>
          <w:tcPr>
            <w:tcW w:w="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Уро-вень пока-зате-ля</w:t>
            </w:r>
          </w:p>
        </w:tc>
        <w:tc>
          <w:tcPr>
            <w:tcW w:w="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Приз-нак возрас-тания/ убыва-ния</w:t>
            </w:r>
          </w:p>
        </w:tc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/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Еди-ница измере-ния (по </w:t>
            </w:r>
            <w:hyperlink r:id="rId14">
              <w:r>
                <w:rPr>
                  <w:rFonts w:ascii="PT Astra Serif" w:hAnsi="PT Astra Serif"/>
                  <w:color w:val="000000"/>
                  <w:sz w:val="22"/>
                  <w:szCs w:val="22"/>
                  <w:shd w:fill="auto" w:val="clear"/>
                </w:rPr>
                <w:t>ОКЕИ</w:t>
              </w:r>
            </w:hyperlink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)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Базовое значение</w:t>
            </w:r>
          </w:p>
        </w:tc>
        <w:tc>
          <w:tcPr>
            <w:tcW w:w="32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Значение показателя по годам</w:t>
            </w:r>
          </w:p>
        </w:tc>
        <w:tc>
          <w:tcPr>
            <w:tcW w:w="1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Документ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000000"/>
                <w:highlight w:val="none"/>
                <w:shd w:fill="auto" w:val="clear"/>
              </w:rPr>
            </w:pPr>
            <w:bookmarkStart w:id="39" w:name="__DdeLink__7165_2425862386"/>
            <w:bookmarkStart w:id="40" w:name="__DdeLink__7158_2425862386_Копия_1"/>
            <w:r>
              <w:rPr>
                <w:rFonts w:ascii="PT Astra Serif" w:hAnsi="PT Astra Serif"/>
                <w:color w:val="000000"/>
                <w:sz w:val="20"/>
                <w:szCs w:val="20"/>
                <w:shd w:fill="auto" w:val="clear"/>
                <w:lang w:eastAsia="zh-CN"/>
              </w:rPr>
              <w:t>Ответствен-ный за</w:t>
            </w:r>
            <w:r>
              <w:rPr>
                <w:rFonts w:ascii="PT Astra Serif" w:hAnsi="PT Astra Serif"/>
                <w:color w:val="000000"/>
                <w:spacing w:val="-37"/>
                <w:sz w:val="20"/>
                <w:szCs w:val="20"/>
                <w:shd w:fill="auto" w:val="clear"/>
                <w:lang w:eastAsia="zh-CN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0"/>
                <w:szCs w:val="20"/>
                <w:shd w:fill="auto" w:val="clear"/>
                <w:lang w:eastAsia="zh-CN"/>
              </w:rPr>
              <w:t>достижение</w:t>
            </w:r>
            <w:r>
              <w:rPr>
                <w:rFonts w:ascii="PT Astra Serif" w:hAnsi="PT Astra Serif"/>
                <w:color w:val="000000"/>
                <w:spacing w:val="1"/>
                <w:sz w:val="20"/>
                <w:szCs w:val="20"/>
                <w:shd w:fill="auto" w:val="clear"/>
                <w:lang w:eastAsia="zh-CN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0"/>
                <w:szCs w:val="20"/>
                <w:shd w:fill="auto" w:val="clear"/>
                <w:lang w:eastAsia="zh-CN"/>
              </w:rPr>
              <w:t>показателя (участник муниципаль-ной программы)</w:t>
            </w:r>
            <w:bookmarkEnd w:id="39"/>
            <w:bookmarkEnd w:id="40"/>
          </w:p>
        </w:tc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Связь с показателями национальных целей</w:t>
            </w:r>
          </w:p>
        </w:tc>
      </w:tr>
      <w:tr>
        <w:trPr/>
        <w:tc>
          <w:tcPr>
            <w:tcW w:w="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  <w:tc>
          <w:tcPr>
            <w:tcW w:w="23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  <w:tc>
          <w:tcPr>
            <w:tcW w:w="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  <w:tc>
          <w:tcPr>
            <w:tcW w:w="8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  <w:tc>
          <w:tcPr>
            <w:tcW w:w="63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зна-че-ние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год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2026г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2027  г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2028  г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2029 г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2030 г</w:t>
            </w:r>
          </w:p>
        </w:tc>
        <w:tc>
          <w:tcPr>
            <w:tcW w:w="14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  <w:tc>
          <w:tcPr>
            <w:tcW w:w="14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  <w:tc>
          <w:tcPr>
            <w:tcW w:w="212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</w:tr>
      <w:tr>
        <w:trPr/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3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6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7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8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9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10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12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13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14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15</w:t>
            </w:r>
          </w:p>
        </w:tc>
      </w:tr>
      <w:tr>
        <w:trPr/>
        <w:tc>
          <w:tcPr>
            <w:tcW w:w="1457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Цель </w:t>
            </w:r>
            <w:bookmarkStart w:id="41" w:name="__DdeLink__16925_991871113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муниципальной программы</w:t>
            </w:r>
            <w:bookmarkEnd w:id="41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 1:  «Обеспечение стабильных экономических условий за счет соблюдения долгосрочных принципов устойчивости и сбалансированности бюджетной системы»</w:t>
            </w:r>
          </w:p>
        </w:tc>
      </w:tr>
      <w:tr>
        <w:trPr/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  <w:shd w:fill="auto" w:val="clear"/>
              </w:rPr>
              <w:t>1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bookmarkStart w:id="42" w:name="__DdeLink__9799_3830895128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Отношение дефицита бюджета муниципаль-ного образования «Анжеро-Судженский городской округ Кемеровской области - Кузбасса»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shd w:fill="auto" w:val="clear"/>
              </w:rPr>
              <w:t xml:space="preserve">(с учетом установленных законодательством Российской Федерации исключений) к доходам без учета объема безвозмездных поступлений 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 (ОС1)</w:t>
            </w:r>
            <w:bookmarkEnd w:id="42"/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МП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Убывание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процент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10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2024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10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10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10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/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п.3 ст. 92.1. Бюджетного </w:t>
            </w:r>
            <w:hyperlink r:id="rId15">
              <w:r>
                <w:rPr>
                  <w:rFonts w:ascii="PT Astra Serif" w:hAnsi="PT Astra Serif"/>
                  <w:color w:val="000000"/>
                  <w:sz w:val="22"/>
                  <w:szCs w:val="22"/>
                  <w:shd w:fill="auto" w:val="clear"/>
                </w:rPr>
                <w:t>кодекс</w:t>
              </w:r>
            </w:hyperlink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а Российской Федерации</w:t>
            </w:r>
          </w:p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</w:r>
          </w:p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bookmarkStart w:id="43" w:name="__DdeLink__11165_991871113"/>
            <w:bookmarkStart w:id="44" w:name="__DdeLink__11425_4033938431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Финансовое управление администра-ции Анжеро-Судженского городского округа</w:t>
            </w:r>
            <w:bookmarkEnd w:id="43"/>
            <w:bookmarkEnd w:id="44"/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bookmarkStart w:id="45" w:name="__DdeLink__11433_4033938431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Обеспечение темпа роста валового внутреннего продукта страны выше среднемирового и выход не позднее 2030 года на четвертое место в мире по объему валового внутреннего продукта, рассчитанного по паритету покупательной способности, в том числе за счет роста производительности труда, при сохранении макроэкономической стабильности, низкого уровня безработицы и снижении уровня структурной безработицы</w:t>
            </w:r>
            <w:bookmarkEnd w:id="45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 </w:t>
            </w:r>
            <w:bookmarkStart w:id="46" w:name="__DdeLink__14828_788721810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(п.6а Указа Президента РФ от 07.05.2024 N 309 "О национальных целях развития Российской Федерации на период до 2030 года и на перспективу до 2036 года")</w:t>
            </w:r>
            <w:bookmarkEnd w:id="46"/>
          </w:p>
        </w:tc>
      </w:tr>
      <w:tr>
        <w:trPr/>
        <w:tc>
          <w:tcPr>
            <w:tcW w:w="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</w:t>
            </w:r>
          </w:p>
        </w:tc>
        <w:tc>
          <w:tcPr>
            <w:tcW w:w="23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12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>Отсутствие нарушений и соответствующего применения мер принуждения за нарушения бюджетного законодательства (ОС4)</w:t>
            </w:r>
          </w:p>
        </w:tc>
        <w:tc>
          <w:tcPr>
            <w:tcW w:w="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МП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возрастание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процентов</w:t>
            </w:r>
          </w:p>
        </w:tc>
        <w:tc>
          <w:tcPr>
            <w:tcW w:w="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100</w:t>
            </w:r>
          </w:p>
        </w:tc>
        <w:tc>
          <w:tcPr>
            <w:tcW w:w="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2024</w:t>
            </w:r>
          </w:p>
        </w:tc>
        <w:tc>
          <w:tcPr>
            <w:tcW w:w="5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100</w:t>
            </w:r>
          </w:p>
        </w:tc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100</w:t>
            </w:r>
          </w:p>
        </w:tc>
        <w:tc>
          <w:tcPr>
            <w:tcW w:w="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100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100</w:t>
            </w:r>
          </w:p>
        </w:tc>
        <w:tc>
          <w:tcPr>
            <w:tcW w:w="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100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/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Бюджетный </w:t>
            </w:r>
            <w:hyperlink r:id="rId16">
              <w:r>
                <w:rPr>
                  <w:rFonts w:ascii="PT Astra Serif" w:hAnsi="PT Astra Serif"/>
                  <w:color w:val="000000"/>
                  <w:sz w:val="22"/>
                  <w:szCs w:val="22"/>
                  <w:shd w:fill="auto" w:val="clear"/>
                </w:rPr>
                <w:t>кодекс</w:t>
              </w:r>
            </w:hyperlink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 Российской Федерации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Финансовое управление администра-ции Анжеро-Судженского городского округа</w:t>
            </w:r>
          </w:p>
        </w:tc>
        <w:tc>
          <w:tcPr>
            <w:tcW w:w="21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нет</w:t>
            </w:r>
          </w:p>
        </w:tc>
      </w:tr>
      <w:tr>
        <w:trPr/>
        <w:tc>
          <w:tcPr>
            <w:tcW w:w="1457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Цель муниципальной программы 2: «Сохранение соотношения муниципального долга Анжеро-Судженского городского округа по отношению к общему годовому объему доходов бюджета без учета утвержденного объема безвозмездных поступлений и  поступлений налоговых доходов по дополнительным нормативам отчислений от налога на доходы физических лиц в пределах ограничений, установленных ст. 107 Бюджетного кодекса Российской Федерации»</w:t>
            </w:r>
          </w:p>
        </w:tc>
      </w:tr>
      <w:tr>
        <w:trPr/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3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Отношение муниципального долга Анжеро-Судженского городского округа по отношению к общему годовому объему доходов бюджета без учета объема безвозмездных поступлений (УМД1)</w:t>
            </w:r>
            <w:bookmarkStart w:id="47" w:name="__DdeLink__9651_3830895128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, (с учетом установленных законодательством Российской Федерации исключений)</w:t>
            </w:r>
            <w:bookmarkEnd w:id="47"/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МП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Убывание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процент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14,8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2024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100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100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100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100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100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pacing w:before="220" w:after="0"/>
              <w:ind w:hanging="0"/>
              <w:jc w:val="both"/>
              <w:textAlignment w:val="top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Постановле-ние администра-ции Анжеро-Судженского городского округа от </w:t>
            </w:r>
            <w:r>
              <w:rPr>
                <w:rFonts w:cs="PT Astra Serif" w:ascii="PT Astra Serif" w:hAnsi="PT Astra Serif"/>
                <w:color w:val="000000"/>
                <w:sz w:val="22"/>
                <w:szCs w:val="22"/>
                <w:shd w:fill="auto" w:val="clear"/>
              </w:rPr>
              <w:t>о</w:t>
            </w:r>
            <w:r>
              <w:rPr>
                <w:rFonts w:cs="Tinos" w:ascii="PT Astra Serif" w:hAnsi="PT Astra Serif"/>
                <w:color w:val="000000"/>
                <w:sz w:val="22"/>
                <w:szCs w:val="22"/>
                <w:shd w:fill="auto" w:val="clear"/>
              </w:rPr>
              <w:t>т 27.02.2025 № 276 (в редакции постановле-ния от 01.04.2025 № 423) «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Об утверждении Программы финансового оздоровления Анжеро-Судженского городского округа на 2025 - 2028 годы»</w:t>
            </w:r>
          </w:p>
          <w:p>
            <w:pPr>
              <w:pStyle w:val="ConsPlusNormal1"/>
              <w:widowControl w:val="false"/>
              <w:ind w:hanging="0"/>
              <w:jc w:val="both"/>
              <w:textAlignment w:val="top"/>
              <w:rPr>
                <w:rFonts w:ascii="PT Astra Serif" w:hAnsi="PT Astra Serif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</w:r>
          </w:p>
          <w:p>
            <w:pPr>
              <w:pStyle w:val="ConsPlusNormal1"/>
              <w:widowControl w:val="false"/>
              <w:ind w:hanging="0"/>
              <w:jc w:val="both"/>
              <w:textAlignment w:val="top"/>
              <w:rPr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textAlignment w:val="top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Финансовое управление администра-ции Анжеро-Судженского городского округа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textAlignment w:val="top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Обеспечение темпа роста валового внутреннего продукта страны выше среднемирового и выход не позднее 2030 года на четвертое место в мире по объему валового внутреннего продукта, рассчитанного по паритету покупательной способности, в том числе за счет роста производительности труда, при сохранении макроэкономической стабильности, низкого уровня безработицы и снижении уровня структурной безработицы</w:t>
            </w:r>
          </w:p>
        </w:tc>
      </w:tr>
    </w:tbl>
    <w:p>
      <w:pPr>
        <w:pStyle w:val="ConsPlusNormal1"/>
        <w:jc w:val="both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color w:val="000000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  <w:t>2.1. План достижения показателей муниципальной программы</w:t>
      </w:r>
    </w:p>
    <w:p>
      <w:pPr>
        <w:pStyle w:val="ConsPlusTitle"/>
        <w:jc w:val="center"/>
        <w:rPr>
          <w:color w:val="000000"/>
          <w:highlight w:val="none"/>
          <w:shd w:fill="auto" w:val="clear"/>
        </w:rPr>
      </w:pPr>
      <w:bookmarkStart w:id="48" w:name="__DdeLink__4856_1800157355"/>
      <w:r>
        <w:rPr>
          <w:rFonts w:ascii="PT Astra Serif" w:hAnsi="PT Astra Serif"/>
          <w:color w:val="000000"/>
          <w:sz w:val="28"/>
          <w:szCs w:val="28"/>
          <w:shd w:fill="auto" w:val="clear"/>
        </w:rPr>
        <w:t>в 2026 году</w:t>
      </w:r>
      <w:bookmarkEnd w:id="48"/>
    </w:p>
    <w:p>
      <w:pPr>
        <w:pStyle w:val="ConsPlusNormal1"/>
        <w:jc w:val="both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tbl>
      <w:tblPr>
        <w:tblW w:w="14565" w:type="dxa"/>
        <w:jc w:val="righ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HBand="0" w:noVBand="1" w:firstColumn="1" w:lastRow="0" w:lastColumn="0" w:firstRow="1"/>
      </w:tblPr>
      <w:tblGrid>
        <w:gridCol w:w="566"/>
        <w:gridCol w:w="2156"/>
        <w:gridCol w:w="907"/>
        <w:gridCol w:w="964"/>
        <w:gridCol w:w="801"/>
        <w:gridCol w:w="1036"/>
        <w:gridCol w:w="623"/>
        <w:gridCol w:w="855"/>
        <w:gridCol w:w="517"/>
        <w:gridCol w:w="697"/>
        <w:gridCol w:w="707"/>
        <w:gridCol w:w="946"/>
        <w:gridCol w:w="993"/>
        <w:gridCol w:w="1116"/>
        <w:gridCol w:w="910"/>
        <w:gridCol w:w="767"/>
      </w:tblGrid>
      <w:tr>
        <w:trPr/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N п/п</w:t>
            </w:r>
          </w:p>
        </w:tc>
        <w:tc>
          <w:tcPr>
            <w:tcW w:w="21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Цели/показатели муниципальной программы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Урове-нь показа-теля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/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Единица измере-ния (по </w:t>
            </w:r>
            <w:hyperlink r:id="rId17">
              <w:r>
                <w:rPr>
                  <w:rFonts w:ascii="PT Astra Serif" w:hAnsi="PT Astra Serif"/>
                  <w:color w:val="000000"/>
                  <w:sz w:val="22"/>
                  <w:szCs w:val="22"/>
                  <w:shd w:fill="auto" w:val="clear"/>
                </w:rPr>
                <w:t>ОКЕИ</w:t>
              </w:r>
            </w:hyperlink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)</w:t>
            </w:r>
          </w:p>
        </w:tc>
        <w:tc>
          <w:tcPr>
            <w:tcW w:w="920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Плановые значения по месяцам</w:t>
            </w:r>
          </w:p>
        </w:tc>
        <w:tc>
          <w:tcPr>
            <w:tcW w:w="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Ответ-</w:t>
            </w:r>
          </w:p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ствен-ный за дости-жение показа-телей</w:t>
            </w:r>
          </w:p>
        </w:tc>
      </w:tr>
      <w:tr>
        <w:trPr/>
        <w:tc>
          <w:tcPr>
            <w:tcW w:w="5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  <w:tc>
          <w:tcPr>
            <w:tcW w:w="215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  <w:tc>
          <w:tcPr>
            <w:tcW w:w="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  <w:tc>
          <w:tcPr>
            <w:tcW w:w="9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январь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февраль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март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апрель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май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июнь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июль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август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сентябрь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октябрь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ноябрь</w:t>
            </w:r>
          </w:p>
        </w:tc>
        <w:tc>
          <w:tcPr>
            <w:tcW w:w="7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</w:tr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4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5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6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8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9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11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13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14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15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16</w:t>
            </w:r>
          </w:p>
        </w:tc>
      </w:tr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</w:t>
            </w:r>
          </w:p>
        </w:tc>
        <w:tc>
          <w:tcPr>
            <w:tcW w:w="1399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Цель муниципальной программы 1: «Обеспечение стабильных экономических условий за счет соблюдения долгосрочных принципов устойчивости и сбалансированности бюджетной системы»</w:t>
            </w:r>
          </w:p>
        </w:tc>
      </w:tr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1.1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Отношение дефицита бюджета муниципального образования «Анжеро-Судженский городской округ Кемеровской области - Кузбасса»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shd w:fill="auto" w:val="clear"/>
              </w:rPr>
              <w:t xml:space="preserve">(с учетом установленных законодательством Российской Федерации исключений) к доходам без учета объема безвозмездных поступлений 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 (ОС1)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МП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процент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color w:val="000000"/>
                <w:highlight w:val="none"/>
                <w:shd w:fill="auto" w:val="clear"/>
              </w:rPr>
            </w:pPr>
            <w:bookmarkStart w:id="49" w:name="__DdeLink__11425_4033938431_Копия_1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Финансовое управ-ление адми-нист-рации Анже-ро-Судженского городского округа</w:t>
            </w:r>
            <w:bookmarkEnd w:id="49"/>
          </w:p>
        </w:tc>
      </w:tr>
      <w:tr>
        <w:trPr/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1.2</w:t>
            </w:r>
          </w:p>
        </w:tc>
        <w:tc>
          <w:tcPr>
            <w:tcW w:w="21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12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>Отсутствие нарушений и соответствующего применения мер принуждения за нарушения бюджетного законодательства (ОС4)</w:t>
            </w:r>
          </w:p>
        </w:tc>
        <w:tc>
          <w:tcPr>
            <w:tcW w:w="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МП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процент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bookmarkStart w:id="50" w:name="__DdeLink__8686_1690009897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  <w:bookmarkEnd w:id="50"/>
          </w:p>
        </w:tc>
        <w:tc>
          <w:tcPr>
            <w:tcW w:w="1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1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color w:val="000000"/>
                <w:highlight w:val="none"/>
                <w:shd w:fill="auto" w:val="clear"/>
              </w:rPr>
            </w:pPr>
            <w:bookmarkStart w:id="51" w:name="__DdeLink__11425_4033938431_Копия_3_Копи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Финансовое управ-ление адми-нист-рации Анже-ро-Судженского городского округа</w:t>
            </w:r>
            <w:bookmarkEnd w:id="51"/>
          </w:p>
        </w:tc>
      </w:tr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</w:t>
            </w:r>
          </w:p>
        </w:tc>
        <w:tc>
          <w:tcPr>
            <w:tcW w:w="1399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Цель муниципальной программы 2: «Сохранение соотношения муниципального долга Анжеро-Судженского городского округа по отношению к общему годовому объему доходов бюджета без учета утвержденного объема безвозмездных поступлений и  поступлений налоговых доходов по дополнительным нормативам отчислений от налога на доходы физических лиц в пределах ограничений, установленных ст. 107 Бюджетного кодекса Российской Федерации»</w:t>
            </w:r>
          </w:p>
        </w:tc>
      </w:tr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2.1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Отношение муниципального долга Анжеро-Судженского городского округа по отношению к общему годовому объему доходов бюджета без учета объема безвозмездных поступлений (с учетом установленных законодательством Российской Федерации исключений) </w:t>
            </w:r>
            <w:bookmarkStart w:id="52" w:name="__DdeLink__9667_4288371289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(УМД1)</w:t>
            </w:r>
            <w:bookmarkEnd w:id="52"/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МП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процент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100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100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color w:val="000000"/>
                <w:highlight w:val="none"/>
                <w:shd w:fill="auto" w:val="clear"/>
              </w:rPr>
            </w:pPr>
            <w:bookmarkStart w:id="53" w:name="__DdeLink__11425_4033938431_Копия_2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Финансовое управ-ление адми-нистрации Анже-ро-Суд-женс-кого городского округа</w:t>
            </w:r>
            <w:bookmarkEnd w:id="53"/>
          </w:p>
        </w:tc>
      </w:tr>
    </w:tbl>
    <w:p>
      <w:pPr>
        <w:sectPr>
          <w:headerReference w:type="default" r:id="rId18"/>
          <w:headerReference w:type="first" r:id="rId19"/>
          <w:footerReference w:type="default" r:id="rId20"/>
          <w:footerReference w:type="first" r:id="rId21"/>
          <w:type w:val="nextPage"/>
          <w:pgSz w:orient="landscape" w:w="16838" w:h="11906"/>
          <w:pgMar w:left="1134" w:right="1134" w:gutter="0" w:header="1134" w:top="1417" w:footer="1134" w:bottom="1417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color w:val="000000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  <w:t xml:space="preserve">3. </w:t>
      </w:r>
      <w:bookmarkStart w:id="54" w:name="__DdeLink__4858_1800157355"/>
      <w:bookmarkStart w:id="55" w:name="__DdeLink__4861_1800157355"/>
      <w:r>
        <w:rPr>
          <w:rFonts w:ascii="PT Astra Serif" w:hAnsi="PT Astra Serif"/>
          <w:color w:val="000000"/>
          <w:sz w:val="28"/>
          <w:szCs w:val="28"/>
          <w:shd w:fill="auto" w:val="clear"/>
        </w:rPr>
        <w:t>Структура муниципальной программы</w:t>
      </w:r>
      <w:bookmarkEnd w:id="54"/>
      <w:bookmarkEnd w:id="55"/>
    </w:p>
    <w:p>
      <w:pPr>
        <w:pStyle w:val="ConsPlusNormal1"/>
        <w:jc w:val="both"/>
        <w:rPr>
          <w:rFonts w:ascii="PT Astra Serif" w:hAnsi="PT Astra Serif"/>
          <w:color w:val="000000"/>
          <w:sz w:val="12"/>
          <w:szCs w:val="12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12"/>
          <w:szCs w:val="12"/>
          <w:shd w:fill="auto" w:val="clear"/>
        </w:rPr>
      </w:r>
    </w:p>
    <w:tbl>
      <w:tblPr>
        <w:tblW w:w="969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HBand="0" w:noVBand="1" w:firstColumn="1" w:lastRow="0" w:lastColumn="0" w:firstRow="1"/>
      </w:tblPr>
      <w:tblGrid>
        <w:gridCol w:w="562"/>
        <w:gridCol w:w="2841"/>
        <w:gridCol w:w="3224"/>
        <w:gridCol w:w="3062"/>
      </w:tblGrid>
      <w:tr>
        <w:trPr/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N п/п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Задачи структурного элемента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Связь с показателями</w:t>
            </w:r>
          </w:p>
        </w:tc>
      </w:tr>
      <w:tr>
        <w:trPr/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3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4</w:t>
            </w:r>
          </w:p>
        </w:tc>
      </w:tr>
      <w:tr>
        <w:trPr/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</w:t>
            </w:r>
          </w:p>
        </w:tc>
        <w:tc>
          <w:tcPr>
            <w:tcW w:w="9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/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Комплекс процессных мероприятий «</w:t>
            </w:r>
            <w:bookmarkStart w:id="56" w:name="__DdeLink__6264_857802040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Обеспечение сбалансированности, устойчивости бюджетной системы и создание условий для повышения эффективности расходов Анжеро-Судженского городского округа» (</w:t>
            </w:r>
            <w:hyperlink w:anchor="P1133">
              <w:r>
                <w:rPr>
                  <w:rFonts w:ascii="PT Astra Serif" w:hAnsi="PT Astra Serif"/>
                  <w:color w:val="000000"/>
                  <w:sz w:val="22"/>
                  <w:szCs w:val="22"/>
                  <w:shd w:fill="auto" w:val="clear"/>
                </w:rPr>
                <w:t xml:space="preserve">приложение  </w:t>
              </w:r>
            </w:hyperlink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3 к настоящей муниципальной программе)</w:t>
            </w:r>
            <w:bookmarkEnd w:id="56"/>
          </w:p>
        </w:tc>
      </w:tr>
      <w:tr>
        <w:trPr/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PT Astra Serif" w:hAnsi="PT Astra Serif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Зачиняева Елена Николаевна — начальник финансового управления администрации Анжеро-Судженского городского округа</w:t>
            </w:r>
          </w:p>
        </w:tc>
        <w:tc>
          <w:tcPr>
            <w:tcW w:w="6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highlight w:val="none"/>
                <w:shd w:fill="auto" w:val="clear"/>
              </w:rPr>
            </w:pPr>
            <w:bookmarkStart w:id="57" w:name="__DdeLink__14850_788721810"/>
            <w:r>
              <w:rPr>
                <w:shd w:fill="auto" w:val="clear"/>
              </w:rPr>
              <w:t>Период реализации 2026-2030</w:t>
            </w:r>
            <w:bookmarkEnd w:id="57"/>
            <w:r>
              <w:rPr>
                <w:shd w:fill="auto" w:val="clear"/>
              </w:rPr>
              <w:t>гг</w:t>
            </w:r>
          </w:p>
        </w:tc>
      </w:tr>
      <w:tr>
        <w:trPr/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1.1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bookmarkStart w:id="58" w:name="__DdeLink__9633_4288371289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Созданы условия для обеспечения долгосрочной сбалансированности и устойчивости  бюджета</w:t>
            </w:r>
            <w:bookmarkEnd w:id="58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 муниципального образования «Анжеро-Судженский  городской округ Кемеровской области - Кузбасса»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Бюджет муниципального образования «Анжеро-Судженский  городской округ Кемеровской области - Кузбасса» на очередной финансовый год и на плановый период учитывает приоритеты социально-экономического развития и принципы долгосрочной бюджетной устойчивости городского округа. Созданы налоговые стимулы для инвестиционной и инновационной активности, повышения конкурентоспособности предприятий базовых отраслей экономики и социальной стабильности городского округа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Отношение дефицита бюджета муниципального образования «Анжеро-Судженский  городской округ Кемеровской области - Кузбасса» (с учетом установленных законодательством Российской Федерации исключений) к доходам без учета объема безвозмездных поступлений (ОС1)</w:t>
            </w:r>
          </w:p>
        </w:tc>
      </w:tr>
      <w:tr>
        <w:trPr/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1.2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12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>Муниципальными программами охвачены преимущественно все сферы деятельности органов исполнительной власти и, соответственно, большей части бюджетных ассигнований, других материальных ресурсов, находящихся в управлении</w:t>
            </w:r>
          </w:p>
          <w:p>
            <w:pPr>
              <w:pStyle w:val="Normal"/>
              <w:widowControl w:val="false"/>
              <w:spacing w:lineRule="atLeast" w:line="120"/>
              <w:jc w:val="both"/>
              <w:rPr>
                <w:rFonts w:ascii="PT Astra Serif" w:hAnsi="PT Astra Serif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</w:r>
          </w:p>
          <w:p>
            <w:pPr>
              <w:pStyle w:val="Normal"/>
              <w:widowControl w:val="false"/>
              <w:spacing w:lineRule="atLeast" w:line="120"/>
              <w:jc w:val="both"/>
              <w:rPr>
                <w:rFonts w:ascii="PT Astra Serif" w:hAnsi="PT Astra Serif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Обеспечено прозрачное распределение средств  бюджета муниципального образования «Анжеро-Судженский  городской округ Кемеровской области — Кузбасса» в программном формате. Программами обеспечена взаимосвязь финансового обеспечения  и целей муниципальных программ. Достижение целей, установленных в программах, оценивается ежегодно оценкой эффективности результатов деятельности муниципальных программ (высокий уровень, запланированный и низкий).  Результаты указанной оценки учитываются при формировании основных направлений социально-экономической, бюджетной, налоговой и долговой политики Анжеро-Судженского городского округа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Отношение дефицита бюджета  муниципального образования «Анжеро-Судженский  городской округ Кемеровской области — Кузбасса» (с учетом установленных законодательством Российской Федерации исключений) к доходам без учета объема безвозмездных поступлений  и поступлений налоговых доходов по дополнительным нормативам отчислений </w:t>
            </w:r>
            <w:r>
              <w:rPr>
                <w:rFonts w:eastAsia="Calibri" w:cs="Times New Roman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от налога на доходы физических лиц 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 (ОС1)</w:t>
            </w:r>
          </w:p>
        </w:tc>
      </w:tr>
      <w:tr>
        <w:trPr/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1.3.</w:t>
            </w:r>
          </w:p>
        </w:tc>
        <w:tc>
          <w:tcPr>
            <w:tcW w:w="2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bookmarkStart w:id="59" w:name="__DdeLink__16947_991871113"/>
            <w:r>
              <w:rPr>
                <w:rFonts w:eastAsia="Calibri" w:cs="Times New Roman" w:ascii="PT Astra Serif" w:hAnsi="PT Astra Serif"/>
                <w:color w:val="000000"/>
                <w:sz w:val="22"/>
                <w:szCs w:val="22"/>
                <w:shd w:fill="auto" w:val="clear"/>
              </w:rPr>
              <w:t>Проведение оценки эффективности налоговых расходов, установленных нормативными правовыми актами Анжеро-Судженского городского округа, с целью выявления неэффективных налоговых расходов</w:t>
            </w:r>
            <w:bookmarkEnd w:id="59"/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Ежегодно проводится оценка налоговых расходов, предоставленных льготополучателям. По итогам сводных годовых отчетов,  на заседании штаба по финансовому мониторингу, обеспечению устойчивого развития экономики и социальной стабильности Анжеро-Судженского городского округа рассматривается, анализируется оценка налоговых расходов, принимаются решения, выносится заключение об эффективности предоставлен-ных налоговых льгот, подписывается протокол заседания. В решении штаба определяется уровень эффективности, востребован-ности, целесообразности каждого налогового расхода, даются конкретные рекомендации по сохранению (отмене), по внесению изменений в предоставление льгот</w:t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Отношение дефицита бюджета муниципального образования «Анжеро-Судженский  городской округ Кемеровской области - Кузбасса» (с учетом установленных законодательством Российской Федерации исключений) к доходам без учета объема безвозмездных поступлений  и поступлений налоговых доходов по дополнительным нормативам отчислений </w:t>
            </w:r>
            <w:r>
              <w:rPr>
                <w:rFonts w:eastAsia="Calibri" w:cs="Times New Roman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от налога на доходы физических лиц 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 (ОС1)</w:t>
            </w:r>
          </w:p>
        </w:tc>
      </w:tr>
      <w:tr>
        <w:trPr/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1.4</w:t>
            </w:r>
          </w:p>
        </w:tc>
        <w:tc>
          <w:tcPr>
            <w:tcW w:w="2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/>
            </w:pPr>
            <w:bookmarkStart w:id="60" w:name="__DdeLink__9651_4288371289"/>
            <w:bookmarkStart w:id="61" w:name="__DdeLink__8709_1690009897"/>
            <w:r>
              <w:rPr>
                <w:rFonts w:cs="Times New Roman" w:ascii="PT Astra Serif" w:hAnsi="PT Astra Serif"/>
                <w:color w:val="000000"/>
                <w:sz w:val="22"/>
                <w:szCs w:val="22"/>
                <w:shd w:fill="auto" w:val="clear"/>
              </w:rPr>
              <w:t>Выявление резервов и перераспределение бюджетных средств в пользу приоритетных направлений и проектов, прежде всего обеспечивающих решение  поставленных в Указах Президента Российской Федерации от 07.05.2012г., 07.05.2018г. задач, н</w:t>
            </w:r>
            <w:r>
              <w:rPr>
                <w:rStyle w:val="Style21"/>
                <w:rFonts w:cs="PT Astra Serif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а содействие достижению национальных целей развития, на </w:t>
            </w:r>
            <w:r>
              <w:rPr>
                <w:rFonts w:cs="Times New Roman" w:ascii="PT Astra Serif" w:hAnsi="PT Astra Serif"/>
                <w:color w:val="000000"/>
                <w:sz w:val="22"/>
                <w:szCs w:val="22"/>
                <w:shd w:fill="auto" w:val="clear"/>
              </w:rPr>
              <w:t>реализацию основных направлений, определенных Стратегией развития городского округа до 2035 года по улучшению качества жизни населения,   на создание условий для экономического роста</w:t>
            </w:r>
            <w:bookmarkEnd w:id="60"/>
            <w:bookmarkEnd w:id="61"/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Проводится анализ ориентированности бюджета муниципального образования «Анжеро-Судженский  городской округ Кемеровской области — Кузбасса» на поддержку социально-незащищенных слоев населения. Задача социального муниципалитета состоит в обеспечении достойного уровня жизни и свободного развития граждан. Именно социальная сфера является одним из важнейших индикаторов, демонстрирующих уровень социально-экономического развития экономики городского округа. В социальные расходы включаются расходы бюджета на образование, здравоохранение, культуру и искусство, физическую культуру и спорт, социальную защиту населения. Расходы на социальную политику отражают основные тенденции и особенности взаимоотношений общества и муниципалитета. Прогрессивное развитие социальной сферы, совершенствование условий, образа и качества жизни людей, обеспечение достойного уровня благосостояния, формирование необходимой социальной поддержки, помощи и защиты — отражение эффективного распределения бюджетных расходов городского округа</w:t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Отношение дефицита бюджета муниципального образования «Анжеро-Судженский  городской округ Кемеровской области — Кузбасса» (с учетом установленных законодательством Российской Федерации исключений) к доходам без учета объема безвозмездных поступлений  и поступлений налоговых доходов по дополнительным нормативам отчислений </w:t>
            </w:r>
            <w:r>
              <w:rPr>
                <w:rFonts w:eastAsia="Calibri" w:cs="Times New Roman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от налога на доходы физических лиц 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 (ОС1)</w:t>
            </w:r>
          </w:p>
        </w:tc>
      </w:tr>
      <w:tr>
        <w:trPr/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1.5</w:t>
            </w:r>
          </w:p>
        </w:tc>
        <w:tc>
          <w:tcPr>
            <w:tcW w:w="2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12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>Контроль за наличием и состоянием просроченной кредиторской задолженности Анжеро-Судженского городского округа и подведомственных учреждений, принятие мер, способствующих снижению накопленной просроченной задолженности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Для обеспечения финансовой устойчивости  бюджета муниципального образования «Анжеро-Судженский  городской округ Кемеровской области — Кузбасса» и успешного выполнения целей, установленных в рамках муниципальных программ,  необходим постоянный контроль дебиторской и кредиторской задолженности. Анализ состояния взаиморасчетов выполняется на основании бухгалтерских регистров за проверяемый период и фактических данных, полученных в ходе инвентаризации расчетов перед работниками, по налогам, поставщиками  работ и услуг и т.п.  Увеличение дебиторской задолженности, рост просроченной дебиторской задолженности ведут к оттоку свободных денежных средств и снижению платежеспособности, увеличение кредиторской задолженности — к рискам неисполнения обязательств перед поставщиками, сотрудниками и государством.</w:t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Отношение дефицита бюджета муниципального образования «Анжеро-Судженский  городской округ Кемеровской области - Кузбасса» (с учетом установленных законодате-льством Российской Федерации исключений) к доходам без учета объема безвозмездных поступлений  и поступлений налоговых доходов по дополнительным нормативам отчислений </w:t>
            </w:r>
            <w:r>
              <w:rPr>
                <w:rFonts w:eastAsia="Calibri" w:cs="Times New Roman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от налога на доходы физических лиц 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 (ОС1)</w:t>
            </w:r>
          </w:p>
        </w:tc>
      </w:tr>
      <w:tr>
        <w:trPr/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1.6.</w:t>
            </w:r>
          </w:p>
        </w:tc>
        <w:tc>
          <w:tcPr>
            <w:tcW w:w="2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120"/>
              <w:jc w:val="both"/>
              <w:rPr>
                <w:color w:val="000000"/>
                <w:highlight w:val="none"/>
                <w:shd w:fill="auto" w:val="clear"/>
              </w:rPr>
            </w:pPr>
            <w:bookmarkStart w:id="62" w:name="__DdeLink__17052_991871113"/>
            <w:bookmarkStart w:id="63" w:name="__DdeLink__16954_991871113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Обеспечена  деятельность  </w:t>
            </w:r>
            <w:bookmarkStart w:id="64" w:name="__DdeLink__16939_991871113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финансового управления администрации Анжеро-Судженского городского округа</w:t>
            </w:r>
            <w:bookmarkEnd w:id="62"/>
            <w:bookmarkEnd w:id="63"/>
            <w:bookmarkEnd w:id="64"/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В целях эффективного управления муниципальными финансами, составления, утверждения, сопровождения и исполнения бюджета  муниципального образования «Анжеро-Судженский  городской округ Кемеровской области — Кузбасса» обеспечена деятельность финансового управления администрации Анжеро-Судженского городского округа: расходы на выплаты персоналу, уплата налогов, сборов и иных платежей, иные закупки для муниципальных нужд</w:t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12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>Отсутствие нарушений и соответствующего применения мер принуждения за нарушения бюджетного законодательства (ОС4)</w:t>
            </w:r>
          </w:p>
        </w:tc>
      </w:tr>
      <w:tr>
        <w:trPr/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</w:t>
            </w:r>
          </w:p>
        </w:tc>
        <w:tc>
          <w:tcPr>
            <w:tcW w:w="9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/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Комплекс процессных мероприятий «</w:t>
            </w:r>
            <w:bookmarkStart w:id="65" w:name="__DdeLink__6262_857802040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Управление муниципальным долгом</w:t>
            </w:r>
            <w:bookmarkEnd w:id="65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» (</w:t>
            </w:r>
            <w:hyperlink w:anchor="P1965">
              <w:r>
                <w:rPr>
                  <w:rFonts w:ascii="PT Astra Serif" w:hAnsi="PT Astra Serif"/>
                  <w:color w:val="000000"/>
                  <w:sz w:val="22"/>
                  <w:szCs w:val="22"/>
                  <w:shd w:fill="auto" w:val="clear"/>
                </w:rPr>
                <w:t xml:space="preserve">приложение  </w:t>
              </w:r>
            </w:hyperlink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4 к настоящей муниципальной программе)</w:t>
            </w:r>
          </w:p>
        </w:tc>
      </w:tr>
      <w:tr>
        <w:trPr>
          <w:trHeight w:val="1258" w:hRule="atLeast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PT Astra Serif" w:hAnsi="PT Astra Serif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Зачиняева Елена Николаевна — начальник финансового управления администрации Анжеро-Судженского городского округа</w:t>
            </w:r>
          </w:p>
        </w:tc>
        <w:tc>
          <w:tcPr>
            <w:tcW w:w="6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highlight w:val="none"/>
                <w:shd w:fill="auto" w:val="clear"/>
              </w:rPr>
            </w:pPr>
            <w:bookmarkStart w:id="66" w:name="__DdeLink__14850_788721810_Копия_1"/>
            <w:r>
              <w:rPr>
                <w:shd w:fill="auto" w:val="clear"/>
              </w:rPr>
              <w:t>Период реализации 2026-2030</w:t>
            </w:r>
            <w:bookmarkEnd w:id="66"/>
            <w:r>
              <w:rPr>
                <w:shd w:fill="auto" w:val="clear"/>
              </w:rPr>
              <w:t>гг</w:t>
            </w:r>
          </w:p>
        </w:tc>
      </w:tr>
      <w:tr>
        <w:trPr/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2.1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Обеспечено эффективное управление муниципальным долгом Анжеро-Судженского городского округа</w:t>
            </w:r>
          </w:p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</w:r>
          </w:p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Формирование оптимальной структуры муниципального долга;</w:t>
            </w:r>
          </w:p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отсутствие просроченной задолженности по долговым обязательствам;</w:t>
            </w:r>
          </w:p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обеспечение выполнения условий реструктуризации задолженности Анжеро-Судженского городского округа  перед Кемеровской областью - Кузбассом по бюджетным кредитам;</w:t>
            </w:r>
          </w:p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обеспечение привлечения в  бюджет муниципального образования «Анжеро-Судженский  городской округ Кемеровской области — Кузбасса» рыночных заимствований;</w:t>
            </w:r>
          </w:p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поддержание параметров муниципального долга в рамках, установленных бюджетным законодательством Российской Федерации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Отношение муниципального долга Анжеро-Судженского городского округа по отношению к общему годовому объему доходов бюджета без учета объема безвозмездных поступлений (с учетом установленных законодательством Российской Федерации исключений) (УМД1)</w:t>
            </w:r>
          </w:p>
        </w:tc>
      </w:tr>
    </w:tbl>
    <w:p>
      <w:pPr>
        <w:sectPr>
          <w:headerReference w:type="default" r:id="rId22"/>
          <w:headerReference w:type="first" r:id="rId23"/>
          <w:footerReference w:type="default" r:id="rId24"/>
          <w:footerReference w:type="first" r:id="rId25"/>
          <w:type w:val="nextPage"/>
          <w:pgSz w:w="11906" w:h="16838"/>
          <w:pgMar w:left="1134" w:right="1134" w:gutter="0" w:header="0" w:top="1701" w:footer="0" w:bottom="850"/>
          <w:pgNumType w:fmt="decimal"/>
          <w:formProt w:val="false"/>
          <w:titlePg/>
          <w:textDirection w:val="lrTb"/>
          <w:docGrid w:type="default" w:linePitch="100" w:charSpace="0"/>
        </w:sectPr>
      </w:pP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color w:val="000000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  <w:t>4.</w:t>
      </w:r>
      <w:bookmarkStart w:id="67" w:name="__DdeLink__4864_1800157355"/>
      <w:r>
        <w:rPr>
          <w:rFonts w:ascii="PT Astra Serif" w:hAnsi="PT Astra Serif"/>
          <w:color w:val="000000"/>
          <w:sz w:val="28"/>
          <w:szCs w:val="28"/>
          <w:shd w:fill="auto" w:val="clear"/>
        </w:rPr>
        <w:t xml:space="preserve"> Финансовое обеспечение муниципальной программы</w:t>
      </w:r>
      <w:bookmarkEnd w:id="67"/>
    </w:p>
    <w:tbl>
      <w:tblPr>
        <w:tblW w:w="1434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HBand="0" w:noVBand="1" w:firstColumn="1" w:lastRow="0" w:lastColumn="0" w:firstRow="1"/>
      </w:tblPr>
      <w:tblGrid>
        <w:gridCol w:w="5496"/>
        <w:gridCol w:w="1705"/>
        <w:gridCol w:w="1424"/>
        <w:gridCol w:w="1305"/>
        <w:gridCol w:w="1411"/>
        <w:gridCol w:w="1308"/>
        <w:gridCol w:w="1690"/>
      </w:tblGrid>
      <w:tr>
        <w:trPr/>
        <w:tc>
          <w:tcPr>
            <w:tcW w:w="5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  <w:shd w:fill="auto" w:val="clear"/>
                <w:lang w:eastAsia="zh-CN"/>
              </w:rPr>
              <w:t>Наименование</w:t>
            </w:r>
            <w:r>
              <w:rPr>
                <w:rFonts w:ascii="PT Astra Serif" w:hAnsi="PT Astra Serif"/>
                <w:color w:val="000000"/>
                <w:spacing w:val="-5"/>
                <w:sz w:val="20"/>
                <w:szCs w:val="20"/>
                <w:shd w:fill="auto" w:val="clear"/>
                <w:lang w:eastAsia="zh-CN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0"/>
                <w:szCs w:val="20"/>
                <w:shd w:fill="auto" w:val="clear"/>
                <w:lang w:eastAsia="zh-CN"/>
              </w:rPr>
              <w:t>мероприятия</w:t>
            </w:r>
            <w:r>
              <w:rPr>
                <w:rFonts w:ascii="PT Astra Serif" w:hAnsi="PT Astra Serif"/>
                <w:color w:val="000000"/>
                <w:spacing w:val="-2"/>
                <w:sz w:val="20"/>
                <w:szCs w:val="20"/>
                <w:shd w:fill="auto" w:val="clear"/>
                <w:lang w:eastAsia="zh-CN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0"/>
                <w:szCs w:val="20"/>
                <w:shd w:fill="auto" w:val="clear"/>
                <w:lang w:eastAsia="zh-CN"/>
              </w:rPr>
              <w:t>(результата)</w:t>
            </w:r>
            <w:r>
              <w:rPr>
                <w:rFonts w:ascii="PT Astra Serif" w:hAnsi="PT Astra Serif"/>
                <w:color w:val="000000"/>
                <w:spacing w:val="-6"/>
                <w:sz w:val="20"/>
                <w:szCs w:val="20"/>
                <w:shd w:fill="auto" w:val="clear"/>
                <w:lang w:eastAsia="zh-CN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0"/>
                <w:szCs w:val="20"/>
                <w:shd w:fill="auto" w:val="clear"/>
                <w:lang w:eastAsia="zh-CN"/>
              </w:rPr>
              <w:t>и</w:t>
            </w:r>
            <w:r>
              <w:rPr>
                <w:rFonts w:ascii="PT Astra Serif" w:hAnsi="PT Astra Serif"/>
                <w:color w:val="000000"/>
                <w:spacing w:val="-3"/>
                <w:sz w:val="20"/>
                <w:szCs w:val="20"/>
                <w:shd w:fill="auto" w:val="clear"/>
                <w:lang w:eastAsia="zh-CN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0"/>
                <w:szCs w:val="20"/>
                <w:shd w:fill="auto" w:val="clear"/>
                <w:lang w:eastAsia="zh-CN"/>
              </w:rPr>
              <w:t>источники</w:t>
            </w:r>
            <w:r>
              <w:rPr>
                <w:rFonts w:ascii="PT Astra Serif" w:hAnsi="PT Astra Serif"/>
                <w:color w:val="000000"/>
                <w:spacing w:val="-5"/>
                <w:sz w:val="20"/>
                <w:szCs w:val="20"/>
                <w:shd w:fill="auto" w:val="clear"/>
                <w:lang w:eastAsia="zh-CN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0"/>
                <w:szCs w:val="20"/>
                <w:shd w:fill="auto" w:val="clear"/>
                <w:lang w:eastAsia="zh-CN"/>
              </w:rPr>
              <w:t>финансирования</w:t>
            </w:r>
          </w:p>
        </w:tc>
        <w:tc>
          <w:tcPr>
            <w:tcW w:w="8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Объем финансового обеспечения по годам реализации, тыс. рублей</w:t>
            </w:r>
          </w:p>
        </w:tc>
      </w:tr>
      <w:tr>
        <w:trPr/>
        <w:tc>
          <w:tcPr>
            <w:tcW w:w="54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2026г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2027г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2028г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2029г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2030г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Всего</w:t>
            </w:r>
          </w:p>
        </w:tc>
      </w:tr>
      <w:tr>
        <w:trPr>
          <w:trHeight w:val="755" w:hRule="atLeast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Муниципальная программа (всего), в том числе: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23 785,6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23 768,0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23 768,0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0,0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0,0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71 32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1,6</w:t>
            </w:r>
          </w:p>
        </w:tc>
      </w:tr>
      <w:tr>
        <w:trPr/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местный бюджет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23 785,6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23 768,0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23 768,0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0,0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0,0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71 32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1,6</w:t>
            </w:r>
          </w:p>
        </w:tc>
      </w:tr>
      <w:tr>
        <w:trPr/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i/>
                <w:iCs/>
                <w:color w:val="000000"/>
                <w:sz w:val="20"/>
                <w:szCs w:val="20"/>
                <w:shd w:fill="auto" w:val="clear"/>
                <w:lang w:eastAsia="zh-CN"/>
              </w:rPr>
              <w:t>Объем налоговых расходов (прогноз по данным отчета за 2023г.)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bookmarkStart w:id="68" w:name="__DdeLink__11177_991871113_Копия_1_Копия"/>
            <w:r>
              <w:rPr>
                <w:rFonts w:ascii="PT Astra Serif" w:hAnsi="PT Astra Serif"/>
                <w:i/>
                <w:iCs/>
                <w:color w:val="000000"/>
                <w:shd w:fill="auto" w:val="clear"/>
              </w:rPr>
              <w:t>35 976,8</w:t>
            </w:r>
            <w:bookmarkEnd w:id="68"/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bookmarkStart w:id="69" w:name="__DdeLink__11177_991871113_Копия_2_Копия"/>
            <w:r>
              <w:rPr>
                <w:rFonts w:ascii="PT Astra Serif" w:hAnsi="PT Astra Serif"/>
                <w:i/>
                <w:iCs/>
                <w:color w:val="000000"/>
                <w:shd w:fill="auto" w:val="clear"/>
              </w:rPr>
              <w:t>35 976,8</w:t>
            </w:r>
            <w:bookmarkEnd w:id="69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bookmarkStart w:id="70" w:name="__DdeLink__11177_991871113_Копия_2"/>
            <w:r>
              <w:rPr>
                <w:rFonts w:ascii="PT Astra Serif" w:hAnsi="PT Astra Serif"/>
                <w:i/>
                <w:iCs/>
                <w:color w:val="000000"/>
                <w:shd w:fill="auto" w:val="clear"/>
              </w:rPr>
              <w:t>35 976,8</w:t>
            </w:r>
            <w:bookmarkEnd w:id="70"/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rFonts w:ascii="PT Astra Serif" w:hAnsi="PT Astra Serif"/>
                <w:i/>
                <w:i/>
                <w:iCs/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i/>
                <w:iCs/>
                <w:color w:val="000000"/>
                <w:shd w:fill="auto" w:val="clear"/>
              </w:rPr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rFonts w:ascii="PT Astra Serif" w:hAnsi="PT Astra Serif"/>
                <w:i/>
                <w:i/>
                <w:iCs/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i/>
                <w:iCs/>
                <w:color w:val="000000"/>
                <w:shd w:fill="auto" w:val="clear"/>
              </w:rPr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i/>
                <w:iCs/>
                <w:color w:val="000000"/>
                <w:shd w:fill="auto" w:val="clear"/>
              </w:rPr>
              <w:t>107 930,4</w:t>
            </w:r>
          </w:p>
        </w:tc>
      </w:tr>
      <w:tr>
        <w:trPr/>
        <w:tc>
          <w:tcPr>
            <w:tcW w:w="5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Структурный элемент «Комплекс процессных мероприятий «Обеспечение сбалансированности, устойчивости бюджетной системы и создание условий для повышения эффективности расходов Анжеро-Судженского городского округа» (всего), в том числе:</w:t>
            </w:r>
          </w:p>
        </w:tc>
        <w:tc>
          <w:tcPr>
            <w:tcW w:w="1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23 725,5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 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23 707,9</w:t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 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23 707,9</w:t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0,0</w:t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0,0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71 14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1,3</w:t>
            </w:r>
          </w:p>
        </w:tc>
      </w:tr>
      <w:tr>
        <w:trPr>
          <w:trHeight w:val="420" w:hRule="atLeast"/>
        </w:trPr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местный бюджет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23 725,5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 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23 707,9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 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23 707,9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0,0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0,0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71 143,8</w:t>
            </w:r>
          </w:p>
        </w:tc>
      </w:tr>
      <w:tr>
        <w:trPr/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Структурный элемент «Комплекс процессных мероприятий «Управление муниципальным долгом» (всего), в том числе: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60,1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60,1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60,1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0,0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0,0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180,3</w:t>
            </w:r>
          </w:p>
        </w:tc>
      </w:tr>
      <w:tr>
        <w:trPr/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местный бюджет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60,1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60,1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60,1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0,0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0,0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180,3</w:t>
            </w:r>
          </w:p>
        </w:tc>
      </w:tr>
    </w:tbl>
    <w:p>
      <w:pPr>
        <w:pStyle w:val="ConsPlusNormal1"/>
        <w:numPr>
          <w:ilvl w:val="0"/>
          <w:numId w:val="0"/>
        </w:numPr>
        <w:ind w:left="0" w:hanging="0"/>
        <w:jc w:val="right"/>
        <w:outlineLvl w:val="1"/>
        <w:rPr>
          <w:color w:val="000000"/>
          <w:sz w:val="28"/>
          <w:szCs w:val="28"/>
          <w:highlight w:val="none"/>
          <w:shd w:fill="auto" w:val="clear"/>
        </w:rPr>
      </w:pPr>
      <w:r>
        <w:rPr>
          <w:color w:val="000000"/>
          <w:sz w:val="28"/>
          <w:szCs w:val="28"/>
          <w:shd w:fill="auto" w:val="clear"/>
        </w:rPr>
      </w:r>
    </w:p>
    <w:p>
      <w:pPr>
        <w:pStyle w:val="ConsPlusNormal1"/>
        <w:numPr>
          <w:ilvl w:val="0"/>
          <w:numId w:val="0"/>
        </w:numPr>
        <w:ind w:left="0" w:hanging="0"/>
        <w:jc w:val="right"/>
        <w:outlineLvl w:val="1"/>
        <w:rPr>
          <w:color w:val="000000"/>
          <w:sz w:val="28"/>
          <w:szCs w:val="28"/>
          <w:highlight w:val="none"/>
          <w:shd w:fill="auto" w:val="clear"/>
        </w:rPr>
      </w:pPr>
      <w:r>
        <w:rPr>
          <w:color w:val="000000"/>
          <w:sz w:val="28"/>
          <w:szCs w:val="28"/>
          <w:shd w:fill="auto" w:val="clear"/>
        </w:rPr>
      </w:r>
    </w:p>
    <w:p>
      <w:pPr>
        <w:pStyle w:val="ConsPlusNormal1"/>
        <w:numPr>
          <w:ilvl w:val="0"/>
          <w:numId w:val="0"/>
        </w:numPr>
        <w:ind w:left="0" w:hanging="0"/>
        <w:jc w:val="right"/>
        <w:outlineLvl w:val="1"/>
        <w:rPr>
          <w:color w:val="000000"/>
          <w:sz w:val="28"/>
          <w:szCs w:val="28"/>
          <w:highlight w:val="none"/>
          <w:shd w:fill="auto" w:val="clear"/>
        </w:rPr>
      </w:pPr>
      <w:r>
        <w:rPr>
          <w:color w:val="000000"/>
          <w:sz w:val="28"/>
          <w:szCs w:val="28"/>
          <w:shd w:fill="auto" w:val="clear"/>
        </w:rPr>
      </w:r>
    </w:p>
    <w:p>
      <w:pPr>
        <w:pStyle w:val="ConsPlusNormal1"/>
        <w:numPr>
          <w:ilvl w:val="0"/>
          <w:numId w:val="0"/>
        </w:numPr>
        <w:ind w:left="0" w:hanging="0"/>
        <w:jc w:val="right"/>
        <w:outlineLvl w:val="1"/>
        <w:rPr>
          <w:color w:val="000000"/>
          <w:sz w:val="28"/>
          <w:szCs w:val="28"/>
          <w:highlight w:val="none"/>
          <w:shd w:fill="auto" w:val="clear"/>
        </w:rPr>
      </w:pPr>
      <w:r>
        <w:rPr>
          <w:color w:val="000000"/>
          <w:sz w:val="28"/>
          <w:szCs w:val="28"/>
          <w:shd w:fill="auto" w:val="clear"/>
        </w:rPr>
      </w:r>
    </w:p>
    <w:p>
      <w:pPr>
        <w:pStyle w:val="ConsPlusNormal1"/>
        <w:numPr>
          <w:ilvl w:val="0"/>
          <w:numId w:val="0"/>
        </w:numPr>
        <w:ind w:left="0" w:hanging="0"/>
        <w:jc w:val="right"/>
        <w:outlineLvl w:val="1"/>
        <w:rPr>
          <w:color w:val="000000"/>
          <w:sz w:val="28"/>
          <w:szCs w:val="28"/>
          <w:highlight w:val="none"/>
          <w:shd w:fill="auto" w:val="clear"/>
        </w:rPr>
      </w:pPr>
      <w:r>
        <w:rPr>
          <w:color w:val="000000"/>
          <w:sz w:val="28"/>
          <w:szCs w:val="28"/>
          <w:shd w:fill="auto" w:val="clear"/>
        </w:rPr>
      </w:r>
    </w:p>
    <w:p>
      <w:pPr>
        <w:pStyle w:val="ConsPlusNormal1"/>
        <w:numPr>
          <w:ilvl w:val="0"/>
          <w:numId w:val="0"/>
        </w:numPr>
        <w:ind w:left="0" w:hanging="0"/>
        <w:jc w:val="right"/>
        <w:outlineLvl w:val="1"/>
        <w:rPr>
          <w:color w:val="000000"/>
          <w:sz w:val="28"/>
          <w:szCs w:val="28"/>
          <w:highlight w:val="none"/>
          <w:shd w:fill="auto" w:val="clear"/>
        </w:rPr>
      </w:pPr>
      <w:r>
        <w:rPr>
          <w:color w:val="000000"/>
          <w:sz w:val="28"/>
          <w:szCs w:val="28"/>
          <w:shd w:fill="auto" w:val="clear"/>
        </w:rPr>
      </w:r>
    </w:p>
    <w:p>
      <w:pPr>
        <w:pStyle w:val="ConsPlusNormal1"/>
        <w:numPr>
          <w:ilvl w:val="0"/>
          <w:numId w:val="0"/>
        </w:numPr>
        <w:ind w:left="0" w:hanging="0"/>
        <w:jc w:val="right"/>
        <w:outlineLvl w:val="1"/>
        <w:rPr>
          <w:color w:val="000000"/>
          <w:sz w:val="28"/>
          <w:szCs w:val="28"/>
          <w:highlight w:val="none"/>
          <w:shd w:fill="auto" w:val="clear"/>
        </w:rPr>
      </w:pPr>
      <w:r>
        <w:rPr>
          <w:color w:val="000000"/>
          <w:sz w:val="28"/>
          <w:szCs w:val="28"/>
          <w:shd w:fill="auto" w:val="clear"/>
        </w:rPr>
      </w:r>
    </w:p>
    <w:p>
      <w:pPr>
        <w:pStyle w:val="ConsPlusNormal1"/>
        <w:numPr>
          <w:ilvl w:val="0"/>
          <w:numId w:val="0"/>
        </w:numPr>
        <w:ind w:left="0" w:hanging="0"/>
        <w:jc w:val="right"/>
        <w:outlineLvl w:val="1"/>
        <w:rPr>
          <w:color w:val="000000"/>
          <w:sz w:val="28"/>
          <w:szCs w:val="28"/>
          <w:highlight w:val="none"/>
          <w:shd w:fill="auto" w:val="clear"/>
        </w:rPr>
      </w:pPr>
      <w:r>
        <w:rPr>
          <w:color w:val="000000"/>
          <w:sz w:val="28"/>
          <w:szCs w:val="28"/>
          <w:shd w:fill="auto" w:val="clear"/>
        </w:rPr>
      </w:r>
    </w:p>
    <w:p>
      <w:pPr>
        <w:pStyle w:val="ConsPlusNormal1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/>
        </w:rPr>
      </w:pPr>
      <w:bookmarkStart w:id="71" w:name="__DdeLink__5552_857802040"/>
      <w:bookmarkStart w:id="72" w:name="__DdeLink__5535_857802040"/>
      <w:r>
        <w:rPr>
          <w:rFonts w:ascii="Times New Roman" w:hAnsi="Times New Roman"/>
          <w:color w:val="000000"/>
          <w:sz w:val="28"/>
          <w:szCs w:val="28"/>
          <w:shd w:fill="auto" w:val="clear"/>
        </w:rPr>
        <w:t xml:space="preserve">Приложение </w:t>
      </w:r>
      <w:r>
        <w:rPr>
          <w:rFonts w:ascii="Times New Roman" w:hAnsi="Times New Roman"/>
          <w:color w:val="000000"/>
          <w:sz w:val="28"/>
          <w:szCs w:val="28"/>
          <w:u w:val="none"/>
          <w:shd w:fill="auto" w:val="clear"/>
        </w:rPr>
        <w:t>3</w:t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к муниципальной программе «Управление муниципальными</w:t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финансами Анжеро-Судженского городского округа»,</w:t>
      </w:r>
    </w:p>
    <w:p>
      <w:pPr>
        <w:pStyle w:val="14"/>
        <w:shd w:val="clear" w:color="auto" w:fill="auto"/>
        <w:spacing w:lineRule="auto" w:line="240" w:before="0" w:after="0"/>
        <w:ind w:left="4536" w:hanging="0"/>
        <w:jc w:val="right"/>
        <w:rPr>
          <w:rFonts w:ascii="Times New Roman" w:hAnsi="Times New Roman"/>
        </w:rPr>
      </w:pPr>
      <w:r>
        <w:rPr>
          <w:color w:val="000000"/>
          <w:shd w:fill="auto" w:val="clear"/>
        </w:rPr>
        <w:t xml:space="preserve">утвержденной постановлением администрации </w:t>
      </w:r>
    </w:p>
    <w:p>
      <w:pPr>
        <w:pStyle w:val="14"/>
        <w:shd w:val="clear" w:color="auto" w:fill="auto"/>
        <w:spacing w:lineRule="auto" w:line="240" w:before="0" w:after="0"/>
        <w:ind w:left="4253" w:hanging="0"/>
        <w:jc w:val="right"/>
        <w:rPr>
          <w:rFonts w:ascii="Times New Roman" w:hAnsi="Times New Roman"/>
        </w:rPr>
      </w:pPr>
      <w:r>
        <w:rPr>
          <w:color w:val="000000"/>
          <w:shd w:fill="auto" w:val="clear"/>
        </w:rPr>
        <w:t xml:space="preserve"> </w:t>
      </w:r>
      <w:r>
        <w:rPr>
          <w:color w:val="000000"/>
          <w:shd w:fill="auto" w:val="clear"/>
        </w:rPr>
        <w:t xml:space="preserve">Анжеро-Судженского городского округа </w:t>
      </w:r>
      <w:bookmarkEnd w:id="72"/>
    </w:p>
    <w:p>
      <w:pPr>
        <w:pStyle w:val="14"/>
        <w:shd w:val="clear" w:color="auto" w:fill="auto"/>
        <w:spacing w:lineRule="auto" w:line="240" w:before="0" w:after="0"/>
        <w:ind w:left="4536" w:hanging="0"/>
        <w:jc w:val="right"/>
        <w:rPr>
          <w:rFonts w:ascii="Times New Roman" w:hAnsi="Times New Roman"/>
        </w:rPr>
      </w:pPr>
      <w:r>
        <w:rPr>
          <w:color w:val="000000"/>
          <w:sz w:val="28"/>
          <w:szCs w:val="28"/>
          <w:shd w:fill="auto" w:val="clear"/>
        </w:rPr>
        <w:t xml:space="preserve">      </w:t>
      </w:r>
      <w:r>
        <w:rPr>
          <w:color w:val="000000"/>
          <w:sz w:val="28"/>
          <w:szCs w:val="28"/>
          <w:shd w:fill="auto" w:val="clear"/>
        </w:rPr>
        <w:t xml:space="preserve">от _________________   № ________ </w:t>
      </w:r>
      <w:bookmarkEnd w:id="71"/>
    </w:p>
    <w:p>
      <w:pPr>
        <w:pStyle w:val="ConsPlusNormal1"/>
        <w:jc w:val="both"/>
        <w:rPr>
          <w:rFonts w:ascii="Times New Roman" w:hAnsi="Times New Roman"/>
          <w:color w:val="000000"/>
          <w:sz w:val="28"/>
          <w:szCs w:val="28"/>
          <w:highlight w:val="none"/>
          <w:shd w:fill="auto" w:val="clear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</w:r>
    </w:p>
    <w:p>
      <w:pPr>
        <w:pStyle w:val="ConsPlusTitle"/>
        <w:jc w:val="center"/>
        <w:rPr>
          <w:color w:val="000000"/>
          <w:highlight w:val="none"/>
          <w:shd w:fill="auto" w:val="clear"/>
        </w:rPr>
      </w:pPr>
      <w:bookmarkStart w:id="73" w:name="P1133"/>
      <w:bookmarkEnd w:id="73"/>
      <w:r>
        <w:rPr>
          <w:rFonts w:ascii="PT Astra Serif" w:hAnsi="PT Astra Serif"/>
          <w:color w:val="000000"/>
          <w:sz w:val="28"/>
          <w:szCs w:val="28"/>
          <w:shd w:fill="auto" w:val="clear"/>
        </w:rPr>
        <w:t>ПАСПОРТ</w:t>
      </w:r>
    </w:p>
    <w:p>
      <w:pPr>
        <w:pStyle w:val="ConsPlusTitle"/>
        <w:jc w:val="center"/>
        <w:rPr>
          <w:color w:val="000000"/>
          <w:highlight w:val="none"/>
          <w:shd w:fill="auto" w:val="clear"/>
        </w:rPr>
      </w:pPr>
      <w:bookmarkStart w:id="74" w:name="__DdeLink__4846_1800157355"/>
      <w:r>
        <w:rPr>
          <w:rFonts w:ascii="PT Astra Serif" w:hAnsi="PT Astra Serif"/>
          <w:color w:val="000000"/>
          <w:sz w:val="28"/>
          <w:szCs w:val="28"/>
          <w:shd w:fill="auto" w:val="clear"/>
        </w:rPr>
        <w:t xml:space="preserve">КОМПЛЕКСА ПРОЦЕССНЫХ МЕРОПРИЯТИЙ </w:t>
      </w:r>
    </w:p>
    <w:p>
      <w:pPr>
        <w:pStyle w:val="ConsPlusTitle"/>
        <w:jc w:val="center"/>
        <w:rPr>
          <w:color w:val="000000"/>
          <w:highlight w:val="none"/>
          <w:shd w:fill="auto" w:val="clear"/>
        </w:rPr>
      </w:pPr>
      <w:bookmarkStart w:id="75" w:name="__DdeLink__5532_857802040"/>
      <w:r>
        <w:rPr>
          <w:rFonts w:ascii="PT Astra Serif" w:hAnsi="PT Astra Serif"/>
          <w:color w:val="000000"/>
          <w:sz w:val="28"/>
          <w:szCs w:val="28"/>
          <w:shd w:fill="auto" w:val="clear"/>
        </w:rPr>
        <w:t>«</w:t>
      </w:r>
      <w:bookmarkStart w:id="76" w:name="__DdeLink__9796_3429019520"/>
      <w:r>
        <w:rPr>
          <w:rFonts w:ascii="PT Astra Serif" w:hAnsi="PT Astra Serif"/>
          <w:color w:val="000000"/>
          <w:sz w:val="28"/>
          <w:szCs w:val="28"/>
          <w:shd w:fill="auto" w:val="clear"/>
        </w:rPr>
        <w:t>ОБЕСПЕЧЕНИЕ СБАЛАНСИРОВАННОСТИ, УСТОЙЧИВОСТИ БЮДЖЕТНОЙ СИСТЕМЫ И СОЗДАНИЕ УСЛОВИЙ ДЛЯ ПОВЫШЕНИЯ ЭФФЕКТИВНОСТИ РАСХОДОВ</w:t>
      </w:r>
    </w:p>
    <w:p>
      <w:pPr>
        <w:pStyle w:val="ConsPlusTitle"/>
        <w:jc w:val="center"/>
        <w:rPr>
          <w:color w:val="000000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  <w:t>АНЖЕРО-СУДЖЕНСКОГО  ГОРОДСКОГО ОКРУГА</w:t>
      </w:r>
      <w:bookmarkEnd w:id="76"/>
      <w:r>
        <w:rPr>
          <w:rFonts w:ascii="PT Astra Serif" w:hAnsi="PT Astra Serif"/>
          <w:color w:val="000000"/>
          <w:sz w:val="28"/>
          <w:szCs w:val="28"/>
          <w:shd w:fill="auto" w:val="clear"/>
        </w:rPr>
        <w:t>»</w:t>
      </w:r>
      <w:bookmarkEnd w:id="74"/>
      <w:bookmarkEnd w:id="75"/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color w:val="000000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  <w:t>1. Общие положения</w:t>
      </w:r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tbl>
      <w:tblPr>
        <w:tblW w:w="1440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HBand="0" w:noVBand="1" w:firstColumn="1" w:lastRow="0" w:lastColumn="0" w:firstRow="1"/>
      </w:tblPr>
      <w:tblGrid>
        <w:gridCol w:w="5444"/>
        <w:gridCol w:w="8955"/>
      </w:tblGrid>
      <w:tr>
        <w:trPr/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Ответственный орган исполнительной власти Анжеро-Судженского городского округа (соисполнитель муниципальной программы Анжеро-Судженского городского округа)</w:t>
            </w:r>
          </w:p>
        </w:tc>
        <w:tc>
          <w:tcPr>
            <w:tcW w:w="8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Финансовое управление администрации Анжеро-Судженского городского округа (Зачиняева Елена Николаевна — начальник финансового управления администрации Анжеро-Судженского городского округа</w:t>
            </w:r>
          </w:p>
          <w:p>
            <w:pPr>
              <w:pStyle w:val="ConsPlusNormal1"/>
              <w:widowControl w:val="false"/>
              <w:ind w:hanging="0"/>
              <w:rPr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Связь с муниципальной программой Анжеро-Судженского городского округа</w:t>
            </w:r>
          </w:p>
        </w:tc>
        <w:tc>
          <w:tcPr>
            <w:tcW w:w="8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Муниципальная программа «Управление муниципальными финансами Анжеро-Судженского городского округа»</w:t>
            </w:r>
          </w:p>
        </w:tc>
      </w:tr>
    </w:tbl>
    <w:p>
      <w:pPr>
        <w:sectPr>
          <w:headerReference w:type="default" r:id="rId26"/>
          <w:headerReference w:type="first" r:id="rId27"/>
          <w:footerReference w:type="default" r:id="rId28"/>
          <w:footerReference w:type="first" r:id="rId29"/>
          <w:type w:val="nextPage"/>
          <w:pgSz w:orient="landscape" w:w="16838" w:h="11906"/>
          <w:pgMar w:left="1134" w:right="1134" w:gutter="0" w:header="0" w:top="1701" w:footer="0" w:bottom="850"/>
          <w:pgNumType w:fmt="decimal"/>
          <w:formProt w:val="false"/>
          <w:titlePg/>
          <w:textDirection w:val="lrTb"/>
          <w:docGrid w:type="default" w:linePitch="100" w:charSpace="0"/>
        </w:sectPr>
      </w:pP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color w:val="000000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  <w:t xml:space="preserve">2. </w:t>
      </w:r>
      <w:bookmarkStart w:id="77" w:name="__DdeLink__4866_1800157355"/>
      <w:r>
        <w:rPr>
          <w:rFonts w:ascii="PT Astra Serif" w:hAnsi="PT Astra Serif"/>
          <w:color w:val="000000"/>
          <w:sz w:val="28"/>
          <w:szCs w:val="28"/>
          <w:shd w:fill="auto" w:val="clear"/>
        </w:rPr>
        <w:t>Показатели комплекса процессных мероприятий</w:t>
      </w:r>
      <w:bookmarkEnd w:id="77"/>
    </w:p>
    <w:tbl>
      <w:tblPr>
        <w:tblW w:w="1449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HBand="0" w:noVBand="1" w:firstColumn="1" w:lastRow="0" w:lastColumn="0" w:firstRow="1"/>
      </w:tblPr>
      <w:tblGrid>
        <w:gridCol w:w="566"/>
        <w:gridCol w:w="3062"/>
        <w:gridCol w:w="946"/>
        <w:gridCol w:w="871"/>
        <w:gridCol w:w="733"/>
        <w:gridCol w:w="797"/>
        <w:gridCol w:w="794"/>
        <w:gridCol w:w="736"/>
        <w:gridCol w:w="736"/>
        <w:gridCol w:w="732"/>
        <w:gridCol w:w="797"/>
        <w:gridCol w:w="759"/>
        <w:gridCol w:w="2960"/>
      </w:tblGrid>
      <w:tr>
        <w:trPr/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N п/п</w:t>
            </w:r>
          </w:p>
        </w:tc>
        <w:tc>
          <w:tcPr>
            <w:tcW w:w="30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Наименование показателя/задачи</w:t>
            </w:r>
          </w:p>
        </w:tc>
        <w:tc>
          <w:tcPr>
            <w:tcW w:w="9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Признак возрастания/убывания</w:t>
            </w:r>
          </w:p>
        </w:tc>
        <w:tc>
          <w:tcPr>
            <w:tcW w:w="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Урове-нь показа-теля</w:t>
            </w:r>
          </w:p>
        </w:tc>
        <w:tc>
          <w:tcPr>
            <w:tcW w:w="7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/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Единица изме-рения </w:t>
            </w:r>
            <w:r>
              <w:rPr>
                <w:rFonts w:ascii="PT Astra Serif" w:hAnsi="PT Astra Serif"/>
                <w:color w:val="000000"/>
                <w:sz w:val="18"/>
                <w:szCs w:val="18"/>
                <w:shd w:fill="auto" w:val="clear"/>
              </w:rPr>
              <w:t xml:space="preserve">(по </w:t>
            </w:r>
            <w:hyperlink r:id="rId30">
              <w:r>
                <w:rPr>
                  <w:rFonts w:ascii="PT Astra Serif" w:hAnsi="PT Astra Serif"/>
                  <w:color w:val="000000"/>
                  <w:sz w:val="18"/>
                  <w:szCs w:val="18"/>
                  <w:shd w:fill="auto" w:val="clear"/>
                </w:rPr>
                <w:t>ОКЕИ</w:t>
              </w:r>
            </w:hyperlink>
            <w:r>
              <w:rPr>
                <w:rFonts w:ascii="PT Astra Serif" w:hAnsi="PT Astra Serif"/>
                <w:color w:val="000000"/>
                <w:sz w:val="18"/>
                <w:szCs w:val="18"/>
                <w:shd w:fill="auto" w:val="clear"/>
              </w:rPr>
              <w:t>)</w:t>
            </w: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Базовое значение</w:t>
            </w:r>
          </w:p>
        </w:tc>
        <w:tc>
          <w:tcPr>
            <w:tcW w:w="37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Значение показателей по годам</w:t>
            </w:r>
          </w:p>
        </w:tc>
        <w:tc>
          <w:tcPr>
            <w:tcW w:w="2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000000"/>
                <w:highlight w:val="none"/>
                <w:shd w:fill="auto" w:val="clear"/>
              </w:rPr>
            </w:pPr>
            <w:bookmarkStart w:id="78" w:name="__DdeLink__7158_2425862386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  <w:lang w:eastAsia="zh-CN"/>
              </w:rPr>
              <w:t>Ответственный за</w:t>
            </w:r>
            <w:r>
              <w:rPr>
                <w:rFonts w:ascii="PT Astra Serif" w:hAnsi="PT Astra Serif"/>
                <w:color w:val="000000"/>
                <w:spacing w:val="-37"/>
                <w:sz w:val="22"/>
                <w:szCs w:val="22"/>
                <w:shd w:fill="auto" w:val="clear"/>
                <w:lang w:eastAsia="zh-CN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  <w:lang w:eastAsia="zh-CN"/>
              </w:rPr>
              <w:t>достижение</w:t>
            </w:r>
            <w:r>
              <w:rPr>
                <w:rFonts w:ascii="PT Astra Serif" w:hAnsi="PT Astra Serif"/>
                <w:color w:val="000000"/>
                <w:spacing w:val="1"/>
                <w:sz w:val="22"/>
                <w:szCs w:val="22"/>
                <w:shd w:fill="auto" w:val="clear"/>
                <w:lang w:eastAsia="zh-CN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  <w:lang w:eastAsia="zh-CN"/>
              </w:rPr>
              <w:t>показателя (участник муниципальной программы)</w:t>
            </w:r>
            <w:bookmarkEnd w:id="78"/>
          </w:p>
        </w:tc>
      </w:tr>
      <w:tr>
        <w:trPr/>
        <w:tc>
          <w:tcPr>
            <w:tcW w:w="5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  <w:tc>
          <w:tcPr>
            <w:tcW w:w="30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  <w:tc>
          <w:tcPr>
            <w:tcW w:w="9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  <w:tc>
          <w:tcPr>
            <w:tcW w:w="8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  <w:tc>
          <w:tcPr>
            <w:tcW w:w="7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значе-ние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год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2026г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2027г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2028г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2029г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2030г</w:t>
            </w:r>
          </w:p>
        </w:tc>
        <w:tc>
          <w:tcPr>
            <w:tcW w:w="29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</w:tr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3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4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5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6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7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8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9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10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11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12</w:t>
            </w: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13</w:t>
            </w:r>
          </w:p>
        </w:tc>
      </w:tr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</w:t>
            </w:r>
          </w:p>
        </w:tc>
        <w:tc>
          <w:tcPr>
            <w:tcW w:w="1392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color w:val="000000"/>
                <w:highlight w:val="none"/>
                <w:shd w:fill="auto" w:val="clear"/>
              </w:rPr>
            </w:pPr>
            <w:bookmarkStart w:id="79" w:name="__DdeLink__15696_365160058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Задача </w:t>
            </w:r>
            <w:bookmarkEnd w:id="79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1. «Созданы условия для обеспечения долгосрочной сбалансированности и устойчивости местного бюджета»</w:t>
            </w:r>
          </w:p>
        </w:tc>
      </w:tr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1.1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bookmarkStart w:id="80" w:name="__DdeLink__15698_365160058"/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Доля налоговых и неналоговых доходов  бюджета муниципального образования «Анжеро-Судженский  городской округ Кемеровской области - Кузбасса» (за исключением поступлений налоговых доходов по дополнительным нормативам отчислений) в общем объеме собственных доходов бюджета  муниципального образования «Анжеро-Судженский  городской округ Кемеровской области — Кузбасса» (без учета субвенций), </w:t>
            </w:r>
            <w:r>
              <w:rPr>
                <w:rFonts w:eastAsia="Calibri" w:ascii="PT Astra Serif" w:hAnsi="PT Astra Serif"/>
                <w:b/>
                <w:bCs/>
                <w:color w:val="000000"/>
                <w:sz w:val="22"/>
                <w:szCs w:val="22"/>
                <w:shd w:fill="auto" w:val="clear"/>
              </w:rPr>
              <w:t>Дннд</w:t>
            </w:r>
            <w:bookmarkEnd w:id="80"/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возрастание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МП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процент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20,7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2024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30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30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30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30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30</w:t>
            </w: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Финансовое управление администрации Анжеро-Судженского городского округа</w:t>
            </w:r>
          </w:p>
        </w:tc>
      </w:tr>
      <w:tr>
        <w:trPr/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1.2</w:t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bookmarkStart w:id="81" w:name="__DdeLink__15543_3763259542"/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Темп роста объема налоговых и неналоговых доходов бюджета муниципального образования «Анжеро-Судженский  городской округ Кемеровской области - Кузбасса», </w:t>
            </w:r>
            <w:r>
              <w:rPr>
                <w:rFonts w:eastAsia="Calibri" w:ascii="PT Astra Serif" w:hAnsi="PT Astra Serif"/>
                <w:b/>
                <w:bCs/>
                <w:color w:val="000000"/>
                <w:sz w:val="22"/>
                <w:szCs w:val="22"/>
                <w:shd w:fill="auto" w:val="clear"/>
              </w:rPr>
              <w:t>ОС2</w:t>
            </w:r>
            <w:bookmarkEnd w:id="81"/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возрастание</w:t>
            </w:r>
          </w:p>
        </w:tc>
        <w:tc>
          <w:tcPr>
            <w:tcW w:w="8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МП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процент</w:t>
            </w:r>
          </w:p>
        </w:tc>
        <w:tc>
          <w:tcPr>
            <w:tcW w:w="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111,6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2024</w:t>
            </w:r>
          </w:p>
        </w:tc>
        <w:tc>
          <w:tcPr>
            <w:tcW w:w="7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100</w:t>
            </w:r>
          </w:p>
        </w:tc>
        <w:tc>
          <w:tcPr>
            <w:tcW w:w="7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100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100</w:t>
            </w:r>
          </w:p>
        </w:tc>
        <w:tc>
          <w:tcPr>
            <w:tcW w:w="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100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100</w:t>
            </w:r>
          </w:p>
        </w:tc>
        <w:tc>
          <w:tcPr>
            <w:tcW w:w="2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Финансовое управление администрации Анжеро-Судженского городского округа</w:t>
            </w:r>
          </w:p>
        </w:tc>
      </w:tr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</w:t>
            </w:r>
          </w:p>
        </w:tc>
        <w:tc>
          <w:tcPr>
            <w:tcW w:w="1392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120"/>
              <w:rPr>
                <w:color w:val="000000"/>
                <w:highlight w:val="none"/>
                <w:shd w:fill="auto" w:val="clear"/>
              </w:rPr>
            </w:pPr>
            <w:bookmarkStart w:id="82" w:name="__DdeLink__15700_365160058"/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>Задача 2. «</w:t>
            </w:r>
            <w:bookmarkStart w:id="83" w:name="__DdeLink__9635_4288371289"/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>Муниципальными программами охвачено преимущественно все сферы деятельности органов исполнительной власти и, соответственно, большей части бюджетных ассигнований, других материальных ресурсов, находящихся в управлении</w:t>
            </w:r>
            <w:bookmarkEnd w:id="83"/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>»</w:t>
            </w:r>
            <w:bookmarkEnd w:id="82"/>
          </w:p>
        </w:tc>
      </w:tr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2.1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120"/>
              <w:jc w:val="both"/>
              <w:rPr>
                <w:color w:val="000000"/>
                <w:highlight w:val="none"/>
                <w:shd w:fill="auto" w:val="clear"/>
              </w:rPr>
            </w:pPr>
            <w:bookmarkStart w:id="84" w:name="__DdeLink__10031_3830895128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Удельный вес расходов бюджета </w:t>
            </w: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>муниципального образования «Анжеро-Судженский  городской округ Кемеровской области - Кузбасса»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, формируемых в рамках программ, (ПЭ1)</w:t>
            </w:r>
            <w:bookmarkEnd w:id="84"/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bookmarkStart w:id="85" w:name="__DdeLink__10039_3830895128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возрастание</w:t>
            </w:r>
            <w:bookmarkEnd w:id="85"/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МП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процент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99,7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2024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98,0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97,0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97,0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97,0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97,0</w:t>
            </w: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Финансовое управление администрации Анжеро-Судженского городского округа</w:t>
            </w:r>
          </w:p>
        </w:tc>
      </w:tr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3</w:t>
            </w:r>
          </w:p>
        </w:tc>
        <w:tc>
          <w:tcPr>
            <w:tcW w:w="1392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color w:val="000000"/>
                <w:highlight w:val="none"/>
                <w:shd w:fill="auto" w:val="clear"/>
              </w:rPr>
            </w:pPr>
            <w:bookmarkStart w:id="86" w:name="__DdeLink__15702_365160058"/>
            <w:r>
              <w:rPr>
                <w:rFonts w:eastAsia="Calibri" w:cs="Times New Roman" w:ascii="PT Astra Serif" w:hAnsi="PT Astra Serif"/>
                <w:color w:val="000000"/>
                <w:sz w:val="22"/>
                <w:szCs w:val="22"/>
                <w:shd w:fill="auto" w:val="clear"/>
              </w:rPr>
              <w:t>Задача 3. «</w:t>
            </w:r>
            <w:bookmarkStart w:id="87" w:name="__DdeLink__9644_4288371289"/>
            <w:r>
              <w:rPr>
                <w:rFonts w:eastAsia="Calibri" w:cs="Times New Roman" w:ascii="PT Astra Serif" w:hAnsi="PT Astra Serif"/>
                <w:color w:val="000000"/>
                <w:sz w:val="22"/>
                <w:szCs w:val="22"/>
                <w:shd w:fill="auto" w:val="clear"/>
              </w:rPr>
              <w:t>Проведение оценки эффективности налоговых расходов, установленных нормативными правовыми актами Анжеро-Судженского городского округа, с целью выявления неэффективных налоговых расходов</w:t>
            </w:r>
            <w:bookmarkEnd w:id="87"/>
            <w:r>
              <w:rPr>
                <w:rFonts w:eastAsia="Calibri" w:cs="Times New Roman" w:ascii="PT Astra Serif" w:hAnsi="PT Astra Serif"/>
                <w:color w:val="000000"/>
                <w:sz w:val="22"/>
                <w:szCs w:val="22"/>
                <w:shd w:fill="auto" w:val="clear"/>
              </w:rPr>
              <w:t>»</w:t>
            </w:r>
            <w:bookmarkEnd w:id="86"/>
          </w:p>
        </w:tc>
      </w:tr>
      <w:tr>
        <w:trPr/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3.1</w:t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bookmarkStart w:id="88" w:name="__DdeLink__15554_365160058"/>
            <w:r>
              <w:rPr>
                <w:rFonts w:cs="Times New Roman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Доля выпадающих доходов бюджета </w:t>
            </w:r>
            <w:r>
              <w:rPr>
                <w:rFonts w:eastAsia="Calibri" w:cs="Times New Roman" w:ascii="PT Astra Serif" w:hAnsi="PT Astra Serif"/>
                <w:color w:val="000000"/>
                <w:sz w:val="22"/>
                <w:szCs w:val="22"/>
                <w:shd w:fill="auto" w:val="clear"/>
              </w:rPr>
              <w:t>муниципального образования «Анжеро-Судженский  городской округ Кемеровской области - Кузбасса»</w:t>
            </w:r>
            <w:r>
              <w:rPr>
                <w:rFonts w:cs="Times New Roman" w:ascii="PT Astra Serif" w:hAnsi="PT Astra Serif"/>
                <w:color w:val="000000"/>
                <w:sz w:val="22"/>
                <w:szCs w:val="22"/>
                <w:shd w:fill="auto" w:val="clear"/>
              </w:rPr>
              <w:t>, (ОС3)</w:t>
            </w:r>
            <w:bookmarkEnd w:id="88"/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убыва-ние</w:t>
            </w:r>
          </w:p>
        </w:tc>
        <w:tc>
          <w:tcPr>
            <w:tcW w:w="8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МП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процент</w:t>
            </w:r>
          </w:p>
        </w:tc>
        <w:tc>
          <w:tcPr>
            <w:tcW w:w="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4,6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2024</w:t>
            </w:r>
          </w:p>
        </w:tc>
        <w:tc>
          <w:tcPr>
            <w:tcW w:w="7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5,0</w:t>
            </w:r>
          </w:p>
        </w:tc>
        <w:tc>
          <w:tcPr>
            <w:tcW w:w="7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5,0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5,0</w:t>
            </w:r>
          </w:p>
        </w:tc>
        <w:tc>
          <w:tcPr>
            <w:tcW w:w="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5,0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5,0</w:t>
            </w:r>
          </w:p>
        </w:tc>
        <w:tc>
          <w:tcPr>
            <w:tcW w:w="2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Финансовое управление администрации Анжеро-Судженского городского округа</w:t>
            </w:r>
          </w:p>
        </w:tc>
      </w:tr>
      <w:tr>
        <w:trPr/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4.</w:t>
            </w:r>
          </w:p>
        </w:tc>
        <w:tc>
          <w:tcPr>
            <w:tcW w:w="13923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color w:val="000000"/>
                <w:highlight w:val="none"/>
                <w:shd w:fill="auto" w:val="clear"/>
              </w:rPr>
            </w:pPr>
            <w:bookmarkStart w:id="89" w:name="__DdeLink__15709_365160058"/>
            <w:r>
              <w:rPr>
                <w:rFonts w:cs="Times New Roman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Задача 4. </w:t>
            </w:r>
            <w:bookmarkStart w:id="90" w:name="__DdeLink__8723_1690009897"/>
            <w:r>
              <w:rPr>
                <w:rFonts w:cs="Times New Roman" w:ascii="PT Astra Serif" w:hAnsi="PT Astra Serif"/>
                <w:color w:val="000000"/>
                <w:sz w:val="22"/>
                <w:szCs w:val="22"/>
                <w:shd w:fill="auto" w:val="clear"/>
              </w:rPr>
              <w:t>«</w:t>
            </w:r>
            <w:bookmarkStart w:id="91" w:name="__DdeLink__9651_4288371289_Копия_1"/>
            <w:r>
              <w:rPr>
                <w:rFonts w:cs="Times New Roman" w:ascii="PT Astra Serif" w:hAnsi="PT Astra Serif"/>
                <w:color w:val="000000"/>
                <w:sz w:val="22"/>
                <w:szCs w:val="22"/>
                <w:shd w:fill="auto" w:val="clear"/>
              </w:rPr>
              <w:t>Выявление резервов и перераспределение бюджетных средств в пользу приоритетных направлений и проектов, прежде всего обеспечивающих решение  поставленных в Указах Президента Российской Федерации от 07.05.2012г., 07.05.2018г. задач, н</w:t>
            </w:r>
            <w:r>
              <w:rPr>
                <w:rStyle w:val="Style21"/>
                <w:rFonts w:cs="PT Astra Serif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а содействие достижению национальных целей развития, на </w:t>
            </w:r>
            <w:r>
              <w:rPr>
                <w:rFonts w:cs="Times New Roman" w:ascii="PT Astra Serif" w:hAnsi="PT Astra Serif"/>
                <w:color w:val="000000"/>
                <w:sz w:val="22"/>
                <w:szCs w:val="22"/>
                <w:shd w:fill="auto" w:val="clear"/>
              </w:rPr>
              <w:t>реализацию основных направлений, определенных Стратегией развития городского округа до 2035 года по улучшению качества жизни населения,   на создание условий для экономического роста</w:t>
            </w:r>
            <w:bookmarkEnd w:id="91"/>
            <w:r>
              <w:rPr>
                <w:rFonts w:cs="Times New Roman" w:ascii="Times New Roman" w:hAnsi="Times New Roman"/>
                <w:color w:val="000000"/>
                <w:sz w:val="22"/>
                <w:szCs w:val="22"/>
                <w:shd w:fill="auto" w:val="clear"/>
              </w:rPr>
              <w:t>»</w:t>
            </w:r>
            <w:bookmarkEnd w:id="89"/>
            <w:bookmarkEnd w:id="90"/>
          </w:p>
        </w:tc>
      </w:tr>
      <w:tr>
        <w:trPr/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4.1.</w:t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spacing w:before="0" w:after="0"/>
              <w:contextualSpacing/>
              <w:jc w:val="both"/>
              <w:rPr>
                <w:color w:val="000000"/>
                <w:highlight w:val="none"/>
                <w:shd w:fill="auto" w:val="clear"/>
              </w:rPr>
            </w:pPr>
            <w:bookmarkStart w:id="92" w:name="__DdeLink__15571_365160058"/>
            <w:r>
              <w:rPr>
                <w:color w:val="000000"/>
                <w:sz w:val="22"/>
                <w:szCs w:val="22"/>
                <w:shd w:fill="auto" w:val="clear"/>
              </w:rPr>
              <w:t xml:space="preserve">Доля расходов бюджета </w:t>
            </w: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>муниципального образования «Анжеро-Судженский  городской округ Кемеровской области - Кузбасса»</w:t>
            </w:r>
            <w:r>
              <w:rPr>
                <w:color w:val="000000"/>
                <w:sz w:val="22"/>
                <w:szCs w:val="22"/>
                <w:shd w:fill="auto" w:val="clear"/>
              </w:rPr>
              <w:t>, направленная на поддержку и развитие социальной сферы, (ПЭ2)</w:t>
            </w:r>
            <w:bookmarkEnd w:id="92"/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возрастание</w:t>
            </w:r>
          </w:p>
        </w:tc>
        <w:tc>
          <w:tcPr>
            <w:tcW w:w="8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МП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процент</w:t>
            </w:r>
          </w:p>
        </w:tc>
        <w:tc>
          <w:tcPr>
            <w:tcW w:w="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64,9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2024</w:t>
            </w:r>
          </w:p>
        </w:tc>
        <w:tc>
          <w:tcPr>
            <w:tcW w:w="7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60,0</w:t>
            </w:r>
          </w:p>
        </w:tc>
        <w:tc>
          <w:tcPr>
            <w:tcW w:w="7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60,0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60,0</w:t>
            </w:r>
          </w:p>
        </w:tc>
        <w:tc>
          <w:tcPr>
            <w:tcW w:w="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60,0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60,0</w:t>
            </w:r>
          </w:p>
        </w:tc>
        <w:tc>
          <w:tcPr>
            <w:tcW w:w="2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Финансовое управление администрации Анжеро-Судженского городского округа</w:t>
            </w:r>
          </w:p>
        </w:tc>
      </w:tr>
      <w:tr>
        <w:trPr/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5.</w:t>
            </w:r>
          </w:p>
        </w:tc>
        <w:tc>
          <w:tcPr>
            <w:tcW w:w="13923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120"/>
              <w:jc w:val="both"/>
              <w:rPr>
                <w:color w:val="000000"/>
                <w:highlight w:val="none"/>
                <w:shd w:fill="auto" w:val="clear"/>
              </w:rPr>
            </w:pPr>
            <w:bookmarkStart w:id="93" w:name="__DdeLink__15711_365160058"/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>Задача 5. «</w:t>
            </w:r>
            <w:bookmarkStart w:id="94" w:name="__DdeLink__9653_4288371289"/>
            <w:r>
              <w:rPr>
                <w:rFonts w:eastAsia="Calibri"/>
                <w:color w:val="000000"/>
                <w:sz w:val="22"/>
                <w:szCs w:val="22"/>
                <w:shd w:fill="auto" w:val="clear"/>
              </w:rPr>
              <w:t>Контроль за наличием и состоянием просроченной кредиторской задолженности Анжеро-Судженского городского округа и подведомственных учреждений, принятие мер, способствующих снижению накопленной просроченной задолженности</w:t>
            </w:r>
            <w:bookmarkEnd w:id="94"/>
            <w:r>
              <w:rPr>
                <w:rFonts w:eastAsia="Calibri"/>
                <w:color w:val="000000"/>
                <w:sz w:val="22"/>
                <w:szCs w:val="22"/>
                <w:shd w:fill="auto" w:val="clear"/>
              </w:rPr>
              <w:t>»</w:t>
            </w:r>
            <w:bookmarkEnd w:id="93"/>
          </w:p>
        </w:tc>
      </w:tr>
      <w:tr>
        <w:trPr/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5.1.</w:t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120"/>
              <w:jc w:val="both"/>
              <w:rPr>
                <w:color w:val="000000"/>
                <w:highlight w:val="none"/>
                <w:shd w:fill="auto" w:val="clear"/>
              </w:rPr>
            </w:pPr>
            <w:bookmarkStart w:id="95" w:name="__DdeLink__15637_365160058"/>
            <w:bookmarkStart w:id="96" w:name="__DdeLink__15629_365160058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Отношение объема просроченной кредиторской задолженности </w:t>
            </w: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Анжеро-Судженского городского округа 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к расходам бюджета</w:t>
            </w:r>
            <w:bookmarkEnd w:id="96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, (ПЭ3)</w:t>
            </w:r>
            <w:bookmarkEnd w:id="95"/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убывание</w:t>
            </w:r>
          </w:p>
        </w:tc>
        <w:tc>
          <w:tcPr>
            <w:tcW w:w="8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МП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процент</w:t>
            </w:r>
          </w:p>
        </w:tc>
        <w:tc>
          <w:tcPr>
            <w:tcW w:w="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2024</w:t>
            </w:r>
          </w:p>
        </w:tc>
        <w:tc>
          <w:tcPr>
            <w:tcW w:w="7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0,1</w:t>
            </w:r>
          </w:p>
        </w:tc>
        <w:tc>
          <w:tcPr>
            <w:tcW w:w="7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0,1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0,1</w:t>
            </w:r>
          </w:p>
        </w:tc>
        <w:tc>
          <w:tcPr>
            <w:tcW w:w="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0,1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0,1</w:t>
            </w:r>
          </w:p>
        </w:tc>
        <w:tc>
          <w:tcPr>
            <w:tcW w:w="2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bookmarkStart w:id="97" w:name="__DdeLink__16962_991871113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Финансовое управление</w:t>
            </w:r>
            <w:bookmarkEnd w:id="97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 администрации Анжеро-Судженского городского округа</w:t>
            </w:r>
          </w:p>
        </w:tc>
      </w:tr>
      <w:tr>
        <w:trPr/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6.</w:t>
            </w:r>
          </w:p>
        </w:tc>
        <w:tc>
          <w:tcPr>
            <w:tcW w:w="13923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120"/>
              <w:jc w:val="both"/>
              <w:rPr>
                <w:color w:val="000000"/>
                <w:highlight w:val="none"/>
                <w:shd w:fill="auto" w:val="clear"/>
              </w:rPr>
            </w:pPr>
            <w:bookmarkStart w:id="98" w:name="__DdeLink__16971_991871113"/>
            <w:bookmarkStart w:id="99" w:name="__DdeLink__15711_365160058_Копия_1"/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>Задача 6. «</w:t>
            </w:r>
            <w:bookmarkEnd w:id="99"/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Обеспечена  деятельность  </w:t>
            </w:r>
            <w:bookmarkStart w:id="100" w:name="__DdeLink__16939_991871113_Копия_1"/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>финансового управления администрации Анжеро-Судженского городского округа</w:t>
            </w:r>
            <w:bookmarkEnd w:id="98"/>
            <w:bookmarkEnd w:id="100"/>
          </w:p>
        </w:tc>
      </w:tr>
      <w:tr>
        <w:trPr/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6.1.</w:t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120"/>
              <w:jc w:val="both"/>
              <w:rPr>
                <w:color w:val="000000"/>
                <w:highlight w:val="none"/>
                <w:shd w:fill="auto" w:val="clear"/>
              </w:rPr>
            </w:pPr>
            <w:bookmarkStart w:id="101" w:name="__DdeLink__17411_991871113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Укомплектованность сотрудниками, в соответствии со штатным расписанием финансового управления администрации Анжеро-Судженского городского округа, (УКС)</w:t>
            </w:r>
            <w:bookmarkEnd w:id="101"/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возрастание</w:t>
            </w:r>
          </w:p>
        </w:tc>
        <w:tc>
          <w:tcPr>
            <w:tcW w:w="8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МП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процент</w:t>
            </w:r>
          </w:p>
        </w:tc>
        <w:tc>
          <w:tcPr>
            <w:tcW w:w="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95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2024</w:t>
            </w:r>
          </w:p>
        </w:tc>
        <w:tc>
          <w:tcPr>
            <w:tcW w:w="7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95</w:t>
            </w:r>
          </w:p>
        </w:tc>
        <w:tc>
          <w:tcPr>
            <w:tcW w:w="7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95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95</w:t>
            </w:r>
          </w:p>
        </w:tc>
        <w:tc>
          <w:tcPr>
            <w:tcW w:w="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95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95</w:t>
            </w:r>
          </w:p>
        </w:tc>
        <w:tc>
          <w:tcPr>
            <w:tcW w:w="2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Финансовое управление администрации Анжеро-Судженского городского округа</w:t>
            </w:r>
          </w:p>
        </w:tc>
      </w:tr>
    </w:tbl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color w:val="000000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  <w:t xml:space="preserve">3. </w:t>
      </w:r>
      <w:bookmarkStart w:id="102" w:name="__DdeLink__4870_1800157355"/>
      <w:r>
        <w:rPr>
          <w:rFonts w:ascii="PT Astra Serif" w:hAnsi="PT Astra Serif"/>
          <w:color w:val="000000"/>
          <w:sz w:val="28"/>
          <w:szCs w:val="28"/>
          <w:shd w:fill="auto" w:val="clear"/>
        </w:rPr>
        <w:t>План достижения показателей комплекса процессных</w:t>
      </w:r>
    </w:p>
    <w:p>
      <w:pPr>
        <w:pStyle w:val="ConsPlusTitle"/>
        <w:jc w:val="center"/>
        <w:rPr>
          <w:color w:val="000000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  <w:t>мероприятий в 2026 году</w:t>
      </w:r>
      <w:bookmarkEnd w:id="102"/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tbl>
      <w:tblPr>
        <w:tblW w:w="15143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HBand="0" w:noVBand="1" w:firstColumn="1" w:lastRow="0" w:lastColumn="0" w:firstRow="1"/>
      </w:tblPr>
      <w:tblGrid>
        <w:gridCol w:w="622"/>
        <w:gridCol w:w="2441"/>
        <w:gridCol w:w="907"/>
        <w:gridCol w:w="1087"/>
        <w:gridCol w:w="910"/>
        <w:gridCol w:w="1059"/>
        <w:gridCol w:w="709"/>
        <w:gridCol w:w="851"/>
        <w:gridCol w:w="776"/>
        <w:gridCol w:w="879"/>
        <w:gridCol w:w="748"/>
        <w:gridCol w:w="796"/>
        <w:gridCol w:w="903"/>
        <w:gridCol w:w="889"/>
        <w:gridCol w:w="869"/>
        <w:gridCol w:w="693"/>
      </w:tblGrid>
      <w:tr>
        <w:trPr/>
        <w:tc>
          <w:tcPr>
            <w:tcW w:w="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N п/п</w:t>
            </w:r>
          </w:p>
        </w:tc>
        <w:tc>
          <w:tcPr>
            <w:tcW w:w="2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Показатели комплекса процессных мероприятий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Урове-нь показателя</w:t>
            </w:r>
          </w:p>
        </w:tc>
        <w:tc>
          <w:tcPr>
            <w:tcW w:w="1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/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Единица измере-ния (по </w:t>
            </w:r>
            <w:hyperlink r:id="rId31">
              <w:r>
                <w:rPr>
                  <w:rFonts w:ascii="PT Astra Serif" w:hAnsi="PT Astra Serif"/>
                  <w:color w:val="000000"/>
                  <w:sz w:val="22"/>
                  <w:szCs w:val="22"/>
                  <w:shd w:fill="auto" w:val="clear"/>
                </w:rPr>
                <w:t>ОКЕИ</w:t>
              </w:r>
            </w:hyperlink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)</w:t>
            </w:r>
          </w:p>
        </w:tc>
        <w:tc>
          <w:tcPr>
            <w:tcW w:w="938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Плановые значения по месяцам</w:t>
            </w:r>
          </w:p>
        </w:tc>
        <w:tc>
          <w:tcPr>
            <w:tcW w:w="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На конец 2026 года</w:t>
            </w:r>
          </w:p>
        </w:tc>
      </w:tr>
      <w:tr>
        <w:trPr/>
        <w:tc>
          <w:tcPr>
            <w:tcW w:w="62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  <w:tc>
          <w:tcPr>
            <w:tcW w:w="24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  <w:tc>
          <w:tcPr>
            <w:tcW w:w="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  <w:tc>
          <w:tcPr>
            <w:tcW w:w="10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январь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февраль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март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апрель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май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июнь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июль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август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сентябрь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октябрь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ноябрь</w:t>
            </w:r>
          </w:p>
        </w:tc>
        <w:tc>
          <w:tcPr>
            <w:tcW w:w="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</w:tr>
      <w:tr>
        <w:trPr/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3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4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5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9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10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11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12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14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15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16</w:t>
            </w:r>
          </w:p>
        </w:tc>
      </w:tr>
      <w:tr>
        <w:trPr/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</w:t>
            </w:r>
          </w:p>
        </w:tc>
        <w:tc>
          <w:tcPr>
            <w:tcW w:w="1451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bookmarkStart w:id="103" w:name="__DdeLink__15713_365160058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Задача 1. «Созданы условия для обеспечения долгосрочной сбалансированности и устойчивости местного бюджета»</w:t>
            </w:r>
            <w:bookmarkEnd w:id="103"/>
          </w:p>
        </w:tc>
      </w:tr>
      <w:tr>
        <w:trPr/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>1.1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color w:val="000000"/>
                <w:highlight w:val="none"/>
                <w:shd w:fill="auto" w:val="clear"/>
              </w:rPr>
            </w:pP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Доля налоговых и неналоговых доходов  бюджета муниципального образования «Анжеро-Судженский  городской округ Кемеровской области — Кузбасса»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«Анжеро-Судженский  городской округ Кемеровской области — Кузбасса» (без учета субвенций), </w:t>
            </w:r>
            <w:r>
              <w:rPr>
                <w:rFonts w:eastAsia="Calibri" w:ascii="PT Astra Serif" w:hAnsi="PT Astra Serif"/>
                <w:b/>
                <w:bCs/>
                <w:color w:val="000000"/>
                <w:sz w:val="22"/>
                <w:szCs w:val="22"/>
                <w:shd w:fill="auto" w:val="clear"/>
              </w:rPr>
              <w:t>Дннд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КПМ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процент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30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30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30,0</w:t>
            </w:r>
          </w:p>
        </w:tc>
      </w:tr>
      <w:tr>
        <w:trPr/>
        <w:tc>
          <w:tcPr>
            <w:tcW w:w="6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1.2</w:t>
            </w:r>
          </w:p>
        </w:tc>
        <w:tc>
          <w:tcPr>
            <w:tcW w:w="2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color w:val="000000"/>
                <w:highlight w:val="none"/>
                <w:shd w:fill="auto" w:val="clear"/>
              </w:rPr>
            </w:pP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>Темп роста объема налоговых и неналоговых доходов бюджета муниципального образования «Анжеро-Судженский  городской округ Кемеровской области - Кузбасса», (ОС2)</w:t>
            </w:r>
          </w:p>
        </w:tc>
        <w:tc>
          <w:tcPr>
            <w:tcW w:w="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КПМ</w:t>
            </w:r>
          </w:p>
        </w:tc>
        <w:tc>
          <w:tcPr>
            <w:tcW w:w="10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процент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10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100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9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100</w:t>
            </w:r>
          </w:p>
        </w:tc>
        <w:tc>
          <w:tcPr>
            <w:tcW w:w="8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100</w:t>
            </w:r>
          </w:p>
        </w:tc>
      </w:tr>
      <w:tr>
        <w:trPr/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</w:t>
            </w:r>
          </w:p>
        </w:tc>
        <w:tc>
          <w:tcPr>
            <w:tcW w:w="1451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12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>Задача 2. «Муниципальными программами охвачены преимущественно все сферы деятельности органов исполнительной власти и, соответственно, большей части бюджетных ассигнований, других материальных ресурсов, находящихся в управлении»</w:t>
            </w:r>
          </w:p>
        </w:tc>
      </w:tr>
      <w:tr>
        <w:trPr/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2.1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120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Удельный вес расходов бюджета </w:t>
            </w: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>муниципального образования «Анжеро-Судженский  городской округ Кемеровской области - Кузбасса»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, формируемых в рамках программ, (ПЭ1)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КПМ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процент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98,0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98,0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98,0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98,0</w:t>
            </w:r>
          </w:p>
        </w:tc>
      </w:tr>
      <w:tr>
        <w:trPr>
          <w:trHeight w:val="569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3</w:t>
            </w:r>
          </w:p>
        </w:tc>
        <w:tc>
          <w:tcPr>
            <w:tcW w:w="1451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bookmarkStart w:id="104" w:name="__DdeLink__28078_2240851442"/>
            <w:r>
              <w:rPr>
                <w:rFonts w:eastAsia="Calibri" w:cs="Times New Roman" w:ascii="PT Astra Serif" w:hAnsi="PT Astra Serif"/>
                <w:color w:val="000000"/>
                <w:sz w:val="22"/>
                <w:szCs w:val="22"/>
                <w:shd w:fill="auto" w:val="clear"/>
              </w:rPr>
              <w:t>Задача 3. «Проведение оценки эффективности налоговых расходов, установленных нормативными правовыми актами Анжеро-Судженского городского округа, с целью выявления неэффективных налоговых расходов»</w:t>
            </w:r>
            <w:bookmarkEnd w:id="104"/>
          </w:p>
        </w:tc>
      </w:tr>
      <w:tr>
        <w:trPr/>
        <w:tc>
          <w:tcPr>
            <w:tcW w:w="6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3.1</w:t>
            </w:r>
          </w:p>
        </w:tc>
        <w:tc>
          <w:tcPr>
            <w:tcW w:w="2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color w:val="000000"/>
                <w:highlight w:val="none"/>
                <w:shd w:fill="auto" w:val="clear"/>
              </w:rPr>
            </w:pPr>
            <w:r>
              <w:rPr>
                <w:rFonts w:cs="Times New Roman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Доля выпадающих доходов бюджета </w:t>
            </w:r>
            <w:r>
              <w:rPr>
                <w:rFonts w:eastAsia="Calibri" w:cs="Times New Roman" w:ascii="PT Astra Serif" w:hAnsi="PT Astra Serif"/>
                <w:color w:val="000000"/>
                <w:sz w:val="22"/>
                <w:szCs w:val="22"/>
                <w:shd w:fill="auto" w:val="clear"/>
              </w:rPr>
              <w:t>муниципального образования «Анжеро-Судженский  городской округ Кемеровской области - Кузбасса»</w:t>
            </w:r>
            <w:r>
              <w:rPr>
                <w:rFonts w:cs="Times New Roman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 (ОС3)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 финансовому году</w:t>
            </w:r>
          </w:p>
        </w:tc>
        <w:tc>
          <w:tcPr>
            <w:tcW w:w="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КПМ</w:t>
            </w:r>
          </w:p>
        </w:tc>
        <w:tc>
          <w:tcPr>
            <w:tcW w:w="10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процент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10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9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5,0</w:t>
            </w:r>
          </w:p>
        </w:tc>
        <w:tc>
          <w:tcPr>
            <w:tcW w:w="8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5,0</w:t>
            </w:r>
          </w:p>
        </w:tc>
      </w:tr>
      <w:tr>
        <w:trPr/>
        <w:tc>
          <w:tcPr>
            <w:tcW w:w="6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4.</w:t>
            </w:r>
          </w:p>
        </w:tc>
        <w:tc>
          <w:tcPr>
            <w:tcW w:w="145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bookmarkStart w:id="105" w:name="__DdeLink__28085_2240851442"/>
            <w:r>
              <w:rPr>
                <w:rFonts w:cs="Times New Roman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Задача 4. </w:t>
            </w:r>
            <w:bookmarkStart w:id="106" w:name="__DdeLink__8747_1690009897"/>
            <w:bookmarkEnd w:id="105"/>
            <w:r>
              <w:rPr>
                <w:rFonts w:cs="Times New Roman" w:ascii="PT Astra Serif" w:hAnsi="PT Astra Serif"/>
                <w:color w:val="000000"/>
                <w:sz w:val="22"/>
                <w:szCs w:val="22"/>
                <w:shd w:fill="auto" w:val="clear"/>
              </w:rPr>
              <w:t>«</w:t>
            </w:r>
            <w:bookmarkStart w:id="107" w:name="__DdeLink__5957_857802040"/>
            <w:bookmarkStart w:id="108" w:name="__DdeLink__9651_4288371289_Копия_1_Копи1"/>
            <w:r>
              <w:rPr>
                <w:rFonts w:cs="Times New Roman" w:ascii="PT Astra Serif" w:hAnsi="PT Astra Serif"/>
                <w:color w:val="000000"/>
                <w:sz w:val="22"/>
                <w:szCs w:val="22"/>
                <w:shd w:fill="auto" w:val="clear"/>
              </w:rPr>
              <w:t>Выявление резервов и перераспределение бюджетных средств в пользу приоритетных направлений и проектов, прежде всего обеспечивающих решение  поставленных в Указах Президента Российской Федерации от 07.05.2012г., 07.05.2018г. задач, н</w:t>
            </w:r>
            <w:r>
              <w:rPr>
                <w:rStyle w:val="Style21"/>
                <w:rFonts w:cs="PT Astra Serif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а содействие достижению национальных целей развития, на </w:t>
            </w:r>
            <w:r>
              <w:rPr>
                <w:rFonts w:cs="Times New Roman" w:ascii="PT Astra Serif" w:hAnsi="PT Astra Serif"/>
                <w:color w:val="000000"/>
                <w:sz w:val="22"/>
                <w:szCs w:val="22"/>
                <w:shd w:fill="auto" w:val="clear"/>
              </w:rPr>
              <w:t>реализацию основных направлений, определенных Стратегией развития городского округа до 2035 года по улучшению качества жизни населения,   на создание условий для экономического роста</w:t>
            </w:r>
            <w:bookmarkEnd w:id="108"/>
            <w:r>
              <w:rPr>
                <w:rFonts w:cs="Times New Roman" w:ascii="Times New Roman" w:hAnsi="Times New Roman"/>
                <w:color w:val="000000"/>
                <w:sz w:val="22"/>
                <w:szCs w:val="22"/>
                <w:shd w:fill="auto" w:val="clear"/>
              </w:rPr>
              <w:t>»</w:t>
            </w:r>
            <w:bookmarkEnd w:id="106"/>
            <w:bookmarkEnd w:id="107"/>
          </w:p>
        </w:tc>
      </w:tr>
      <w:tr>
        <w:trPr/>
        <w:tc>
          <w:tcPr>
            <w:tcW w:w="6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4.1</w:t>
            </w:r>
          </w:p>
        </w:tc>
        <w:tc>
          <w:tcPr>
            <w:tcW w:w="2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spacing w:before="0" w:after="0"/>
              <w:contextualSpacing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Доля расходов бюджета </w:t>
            </w: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>муниципального образования «Анжеро-Судженский  городской округ Кемеровской области - Кузбасса»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, направленная на поддержку и развитие социальной сферы,(ПЭ2)</w:t>
            </w:r>
          </w:p>
        </w:tc>
        <w:tc>
          <w:tcPr>
            <w:tcW w:w="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КПМ</w:t>
            </w:r>
          </w:p>
        </w:tc>
        <w:tc>
          <w:tcPr>
            <w:tcW w:w="10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процент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10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50,0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50,0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9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50,0</w:t>
            </w:r>
          </w:p>
        </w:tc>
        <w:tc>
          <w:tcPr>
            <w:tcW w:w="8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60,0</w:t>
            </w:r>
          </w:p>
        </w:tc>
      </w:tr>
      <w:tr>
        <w:trPr/>
        <w:tc>
          <w:tcPr>
            <w:tcW w:w="6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5</w:t>
            </w:r>
          </w:p>
        </w:tc>
        <w:tc>
          <w:tcPr>
            <w:tcW w:w="145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12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>Задача 5. «</w:t>
            </w:r>
            <w:r>
              <w:rPr>
                <w:rFonts w:eastAsia="Calibri"/>
                <w:color w:val="000000"/>
                <w:sz w:val="22"/>
                <w:szCs w:val="22"/>
                <w:shd w:fill="auto" w:val="clear"/>
              </w:rPr>
              <w:t>Контроль за наличием и состоянием просроченной кредиторской задолженности Анжеро-Судженского городского округа и подведомственных учреждений, принятие мер, способствующих снижению накопленной просроченной задолженности»</w:t>
            </w:r>
          </w:p>
        </w:tc>
      </w:tr>
      <w:tr>
        <w:trPr/>
        <w:tc>
          <w:tcPr>
            <w:tcW w:w="6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5.1</w:t>
            </w:r>
          </w:p>
        </w:tc>
        <w:tc>
          <w:tcPr>
            <w:tcW w:w="2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120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Отношение объема просроченной кредиторской задолженности </w:t>
            </w: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Анжеро-Судженского городского округа 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к расходам бюджета, (ПЭ3)</w:t>
            </w:r>
          </w:p>
        </w:tc>
        <w:tc>
          <w:tcPr>
            <w:tcW w:w="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КПМ</w:t>
            </w:r>
          </w:p>
        </w:tc>
        <w:tc>
          <w:tcPr>
            <w:tcW w:w="10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процент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10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0,1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0,1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9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0,1</w:t>
            </w:r>
          </w:p>
        </w:tc>
        <w:tc>
          <w:tcPr>
            <w:tcW w:w="8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0,1</w:t>
            </w:r>
          </w:p>
        </w:tc>
      </w:tr>
      <w:tr>
        <w:trPr/>
        <w:tc>
          <w:tcPr>
            <w:tcW w:w="6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>6.</w:t>
            </w:r>
          </w:p>
        </w:tc>
        <w:tc>
          <w:tcPr>
            <w:tcW w:w="145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120"/>
              <w:jc w:val="both"/>
              <w:rPr>
                <w:color w:val="000000"/>
                <w:highlight w:val="none"/>
                <w:shd w:fill="auto" w:val="clear"/>
              </w:rPr>
            </w:pPr>
            <w:bookmarkStart w:id="109" w:name="__DdeLink__16977_991871113"/>
            <w:bookmarkStart w:id="110" w:name="__DdeLink__16983_991871113"/>
            <w:bookmarkStart w:id="111" w:name="__DdeLink__15711_365160058_Копия_1_Копия"/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>Задача 6. «</w:t>
            </w:r>
            <w:bookmarkEnd w:id="111"/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Обеспечена  деятельность  </w:t>
            </w:r>
            <w:bookmarkStart w:id="112" w:name="__DdeLink__16939_991871113_Копия_1_Копия"/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>финансового управления администрации Анжеро-Судженского городского округа</w:t>
            </w:r>
            <w:bookmarkEnd w:id="109"/>
            <w:bookmarkEnd w:id="110"/>
            <w:bookmarkEnd w:id="112"/>
          </w:p>
        </w:tc>
      </w:tr>
      <w:tr>
        <w:trPr/>
        <w:tc>
          <w:tcPr>
            <w:tcW w:w="6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>6.1.</w:t>
            </w:r>
          </w:p>
        </w:tc>
        <w:tc>
          <w:tcPr>
            <w:tcW w:w="2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12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Укомплектованность сотрудниками, в соответствии со штатным расписанием финансового управления администрации Анжеро-Судженского городского округа, (УКС)</w:t>
            </w:r>
          </w:p>
        </w:tc>
        <w:tc>
          <w:tcPr>
            <w:tcW w:w="9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КПМ</w:t>
            </w:r>
          </w:p>
        </w:tc>
        <w:tc>
          <w:tcPr>
            <w:tcW w:w="10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процент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10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95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95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9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95</w:t>
            </w:r>
          </w:p>
        </w:tc>
        <w:tc>
          <w:tcPr>
            <w:tcW w:w="8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95</w:t>
            </w:r>
          </w:p>
        </w:tc>
      </w:tr>
    </w:tbl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color w:val="000000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  <w:t xml:space="preserve">4. </w:t>
      </w:r>
      <w:bookmarkStart w:id="113" w:name="__DdeLink__4872_1800157355"/>
      <w:r>
        <w:rPr>
          <w:rFonts w:ascii="PT Astra Serif" w:hAnsi="PT Astra Serif"/>
          <w:color w:val="000000"/>
          <w:sz w:val="28"/>
          <w:szCs w:val="28"/>
          <w:shd w:fill="auto" w:val="clear"/>
        </w:rPr>
        <w:t>Перечень мероприятий (результатов) комплекса процессных</w:t>
      </w:r>
    </w:p>
    <w:p>
      <w:pPr>
        <w:pStyle w:val="ConsPlusTitle"/>
        <w:jc w:val="center"/>
        <w:rPr>
          <w:color w:val="000000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  <w:t>мероприятий</w:t>
      </w:r>
      <w:bookmarkEnd w:id="113"/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tbl>
      <w:tblPr>
        <w:tblW w:w="1503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HBand="0" w:noVBand="1" w:firstColumn="1" w:lastRow="0" w:lastColumn="0" w:firstRow="1"/>
      </w:tblPr>
      <w:tblGrid>
        <w:gridCol w:w="521"/>
        <w:gridCol w:w="2035"/>
        <w:gridCol w:w="1102"/>
        <w:gridCol w:w="4847"/>
        <w:gridCol w:w="1019"/>
        <w:gridCol w:w="855"/>
        <w:gridCol w:w="794"/>
        <w:gridCol w:w="780"/>
        <w:gridCol w:w="720"/>
        <w:gridCol w:w="876"/>
        <w:gridCol w:w="792"/>
        <w:gridCol w:w="688"/>
      </w:tblGrid>
      <w:tr>
        <w:trPr/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N п/п</w:t>
            </w:r>
          </w:p>
        </w:tc>
        <w:tc>
          <w:tcPr>
            <w:tcW w:w="2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Наименование мероприятия (результата)</w:t>
            </w:r>
          </w:p>
        </w:tc>
        <w:tc>
          <w:tcPr>
            <w:tcW w:w="11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Тип мероприятий (результа-та)</w:t>
            </w:r>
          </w:p>
        </w:tc>
        <w:tc>
          <w:tcPr>
            <w:tcW w:w="4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PT Astra Serif" w:hAnsi="PT Astra Serif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</w:r>
          </w:p>
          <w:p>
            <w:pPr>
              <w:pStyle w:val="ConsPlusNormal1"/>
              <w:widowControl w:val="false"/>
              <w:ind w:hanging="0"/>
              <w:jc w:val="center"/>
              <w:rPr>
                <w:rFonts w:ascii="PT Astra Serif" w:hAnsi="PT Astra Serif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</w:r>
          </w:p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Характеристика</w:t>
            </w:r>
          </w:p>
        </w:tc>
        <w:tc>
          <w:tcPr>
            <w:tcW w:w="1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/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Единица измере-ния (по </w:t>
            </w:r>
            <w:hyperlink r:id="rId32">
              <w:r>
                <w:rPr>
                  <w:rFonts w:ascii="PT Astra Serif" w:hAnsi="PT Astra Serif"/>
                  <w:color w:val="000000"/>
                  <w:sz w:val="22"/>
                  <w:szCs w:val="22"/>
                  <w:shd w:fill="auto" w:val="clear"/>
                </w:rPr>
                <w:t>ОКЕИ</w:t>
              </w:r>
            </w:hyperlink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)</w:t>
            </w:r>
          </w:p>
        </w:tc>
        <w:tc>
          <w:tcPr>
            <w:tcW w:w="16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Базовое значение</w:t>
            </w:r>
          </w:p>
        </w:tc>
        <w:tc>
          <w:tcPr>
            <w:tcW w:w="38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Значения мероприятия (результата) по годам</w:t>
            </w:r>
          </w:p>
        </w:tc>
      </w:tr>
      <w:tr>
        <w:trPr>
          <w:trHeight w:val="852" w:hRule="atLeast"/>
        </w:trPr>
        <w:tc>
          <w:tcPr>
            <w:tcW w:w="5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  <w:tc>
          <w:tcPr>
            <w:tcW w:w="20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  <w:tc>
          <w:tcPr>
            <w:tcW w:w="11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  <w:tc>
          <w:tcPr>
            <w:tcW w:w="4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  <w:tc>
          <w:tcPr>
            <w:tcW w:w="10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значе-ние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год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2026г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2027г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2028г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2029г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2030г</w:t>
            </w:r>
          </w:p>
        </w:tc>
      </w:tr>
      <w:tr>
        <w:trPr/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3</w:t>
            </w:r>
          </w:p>
        </w:tc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4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6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7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9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10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11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12</w:t>
            </w:r>
          </w:p>
        </w:tc>
      </w:tr>
      <w:tr>
        <w:trPr/>
        <w:tc>
          <w:tcPr>
            <w:tcW w:w="1502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Задача 1. «Созданы условия для обеспечения долгосрочной сбалансированности и устойчивости местного бюджета»</w:t>
            </w:r>
          </w:p>
        </w:tc>
      </w:tr>
      <w:tr>
        <w:trPr/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1.1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bookmarkStart w:id="114" w:name="__DdeLink__28678_2240851442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Обеспечено формирование бюджета </w:t>
            </w: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>муниципального образования «Анжеро-Судженский  городской округ Кемеровской области - Кузбасса»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, учитывающего приоритеты социально-экономического развития и принципы долгосрочной бюджетной устойчивости</w:t>
            </w:r>
            <w:bookmarkEnd w:id="114"/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иные мероприятия</w:t>
            </w:r>
          </w:p>
        </w:tc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/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Бюджет </w:t>
            </w: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муниципального образования «Анжеро-Судженский  городской округ Кемеровской области — Кузбасса» 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на очередной финансовый год и плановый период сформирован исходя из необходимости содействия экономическому росту Анжеро-Судженского городского округа, повышения эффективности мер социальной поддержки населения, повышения информационной безопасности и укрепления межрегионального и межмуниципального сотрудничества для совместного развития инфраструктуры. Дефицит  бюджета </w:t>
            </w: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>муниципального образования «Анжеро-Судженский  городской округ Кемеровской области - Кузбасса»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 не превышает параметры, установленные Бюджетным </w:t>
            </w:r>
            <w:hyperlink r:id="rId33">
              <w:r>
                <w:rPr>
                  <w:rFonts w:ascii="PT Astra Serif" w:hAnsi="PT Astra Serif"/>
                  <w:color w:val="000000"/>
                  <w:sz w:val="22"/>
                  <w:szCs w:val="22"/>
                  <w:shd w:fill="auto" w:val="clear"/>
                </w:rPr>
                <w:t>кодексом</w:t>
              </w:r>
            </w:hyperlink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 Российской Федерации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bookmarkStart w:id="115" w:name="__DdeLink__28076_2240851442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единица</w:t>
            </w:r>
            <w:bookmarkEnd w:id="115"/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2024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color w:val="000000"/>
                <w:sz w:val="16"/>
                <w:szCs w:val="16"/>
                <w:shd w:fill="auto" w:val="clear"/>
              </w:rPr>
              <w:t>1.1.1.</w:t>
            </w:r>
          </w:p>
        </w:tc>
        <w:tc>
          <w:tcPr>
            <w:tcW w:w="14508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Местный бюджет на очередной финансовый год и плановый период сформирован исходя из необходимости содействия экономическому росту Анжеро-Судженского городского округа, повышения эффективности мер социальной поддержки населения, повышения информационной безопасности, повышения уровня благоустройства и комфортности проживания населения. Дефицит местного бюджета не превышает параметры, установленные Бюджетным кодексом Российской Федерации.</w:t>
            </w:r>
          </w:p>
        </w:tc>
      </w:tr>
      <w:tr>
        <w:trPr/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1.2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Представлена информация о  бюджете </w:t>
            </w: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муниципального образования «Анжеро-Судженский  городской округ Кемеровской области — Кузбасса» 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на очередной финансовый год и плановый период в доступном и понятном для граждан формате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иные мероприятия</w:t>
            </w:r>
          </w:p>
        </w:tc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Прозрачность (открытость) бюджетных данных обеспечивается путем информирования граждан о  бюджете </w:t>
            </w: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муниципального образования «Анжеро-Судженский  городской округ Кемеровской области — Кузбасса» 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в доступной и понятной форме, формируется на основании проекта решения о местном бюджете, а также решения Совета народных депутатов Анжеро-Судженского городского округа о местном бюджете и размещается на официальном сайте администрации Анжеро-Судженского городского округа в информационно-телекоммуникационной сети «Интернет»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документ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2024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4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shd w:fill="auto" w:val="clear"/>
              </w:rPr>
              <w:t>1.2.1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.</w:t>
            </w:r>
          </w:p>
        </w:tc>
        <w:tc>
          <w:tcPr>
            <w:tcW w:w="14508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Прозрачность (открытость) бюджетных данных обеспечивается путем информирования граждан о местном бюджете в доступной и понятной форме, формируется на основании проекта решения СНД о местном бюджете, утвержденного решения о бюджете, проекта исполнения бюджета за отчетный год и утвержденного решения СНД об исполнении бюджета за отчетный год.</w:t>
            </w:r>
          </w:p>
        </w:tc>
      </w:tr>
      <w:tr>
        <w:trPr/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1.3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Размещена в открытом доступе наглядная информация, отражающая формирование бюджетной отчетности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иные мероприятия</w:t>
            </w:r>
          </w:p>
        </w:tc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Информация в открытом доступе публикуется в течение финансового года согласно установленным срокам (ежемесячно отчеты об исполнении бюджета (ф.317), ежеквартально исполнение бюджета по доходам, по расходам).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документ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2024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shd w:fill="auto" w:val="clear"/>
              </w:rPr>
              <w:t>1.3.1.</w:t>
            </w:r>
          </w:p>
        </w:tc>
        <w:tc>
          <w:tcPr>
            <w:tcW w:w="14508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Информация в открытом доступе публикуется в течение финансового года согласно установленным срокам. </w:t>
            </w:r>
            <w:bookmarkStart w:id="116" w:name="__DdeLink__28676_2240851442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Значение результата включает ежемесячное размещение отчетной информации</w:t>
            </w:r>
            <w:bookmarkEnd w:id="116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 (ф.317), ежеквартальное размещение сведений об исполнении бюджета по доходам и по расходам</w:t>
            </w:r>
          </w:p>
        </w:tc>
      </w:tr>
      <w:tr>
        <w:trPr/>
        <w:tc>
          <w:tcPr>
            <w:tcW w:w="1502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120"/>
              <w:jc w:val="both"/>
              <w:rPr>
                <w:color w:val="000000"/>
                <w:highlight w:val="none"/>
                <w:shd w:fill="auto" w:val="clear"/>
              </w:rPr>
            </w:pPr>
            <w:bookmarkStart w:id="117" w:name="__DdeLink__28724_2240851442"/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>Задача 2. «Муниципальными программами охвачены преимущественно все сферы деятельности органов исполнительной власти и, соответственно, большей части бюджетных ассигнований, других материальных ресурсов, находящихся в управлении»</w:t>
            </w:r>
            <w:bookmarkEnd w:id="117"/>
          </w:p>
        </w:tc>
      </w:tr>
      <w:tr>
        <w:trPr/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2.1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Обеспечено формирование бюджета </w:t>
            </w: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муниципального образования «Анжеро-Судженский  городской округ Кемеровской области — Кузбасса» 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в программном формате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иные мероприятия</w:t>
            </w:r>
          </w:p>
        </w:tc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Решением Совета народных депутатом Анжеро-Судженского городского округа о бюджете на очередной финансовый год и плановый период утверждается распределение бюджетных ассигнований  бюджета </w:t>
            </w: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муниципального образования «Анжеро-Судженский  городской округ Кемеровской области — Кузбасса» 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на реализацию муниципальных программ и непрограммных направлений деятельности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единица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2024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13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13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color w:val="000000"/>
                <w:sz w:val="16"/>
                <w:szCs w:val="16"/>
                <w:shd w:fill="auto" w:val="clear"/>
              </w:rPr>
              <w:t>2.1.1.</w:t>
            </w:r>
          </w:p>
        </w:tc>
        <w:tc>
          <w:tcPr>
            <w:tcW w:w="14508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 xml:space="preserve">Бюджет </w:t>
            </w: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муниципального образования «Анжеро-Судженский  городской округ Кемеровской области — Кузбасса» </w:t>
            </w:r>
            <w:r>
              <w:rPr>
                <w:color w:val="000000"/>
                <w:sz w:val="22"/>
                <w:szCs w:val="22"/>
                <w:shd w:fill="auto" w:val="clear"/>
              </w:rPr>
              <w:t xml:space="preserve">с 2014 года формируется в программном формате. </w:t>
            </w:r>
            <w:r>
              <w:rPr>
                <w:rFonts w:eastAsia="MS Mincho"/>
                <w:color w:val="000000"/>
                <w:sz w:val="22"/>
                <w:szCs w:val="22"/>
                <w:shd w:fill="auto" w:val="clear"/>
              </w:rPr>
              <w:t>Муниципальные программы - это базовый инструмент повышения эффективности бюджетных расходов. Распределение бюджетных ассигнований утверждено не только в разрезе муниципальных программ, подпрограмм, но и по основным мероприятиям. В результате обеспечивается увязка бюджетных ассигнований непосредственно с основными мероприятиями и соответствующими им целевыми показателями (индикаторами), что в свою очередь, улучшает обоснованность и прозрачность бюджетной политики, делает более понятным для бизнеса текущие и среднесрочные приоритеты в расходовании бюджетных средств. Формирование полноценного программного бюджета связано не столько с представлением бюджета в разрезе программ, сколько с его ориентацией на достижение целей государственной, муниципальной политики, закреплением ответственности конкретных лиц за достижение намеченных результатов и использованием информации о результативности бюджетного процесса. На период 2022-2025 действуют 14 муниципальных программ. С 2026 года к реализации представлены паспорта на 13 муниципальных программ с периодом 2026-2030г.</w:t>
            </w:r>
          </w:p>
        </w:tc>
      </w:tr>
      <w:tr>
        <w:trPr/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2.2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Результативность и эффективность бюджетных расходов  ориентирована на достижение целей муниципальных программ и  социально-экономической  политики городского округа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иные мероприятия</w:t>
            </w:r>
          </w:p>
        </w:tc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Ежегодно проводится оценка эффективности деятельности в рамках муниципальных программ, с учетом предоставленного для реализации программ финансирования за счет всех источников финансирования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единица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2024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color w:val="000000"/>
                <w:sz w:val="16"/>
                <w:szCs w:val="16"/>
                <w:shd w:fill="auto" w:val="clear"/>
              </w:rPr>
              <w:t>2.2.1.</w:t>
            </w:r>
          </w:p>
        </w:tc>
        <w:tc>
          <w:tcPr>
            <w:tcW w:w="14508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eastAsia="MS Mincho"/>
                <w:color w:val="000000"/>
                <w:sz w:val="22"/>
                <w:szCs w:val="22"/>
                <w:shd w:fill="auto" w:val="clear"/>
              </w:rPr>
              <w:t>Ежегодная оценка эффективности расходов на реализацию программ включает оценку бюджетного эффекта от реализации мероприятий, а также оценку эффективности осуществляемых расходов (достижение целевых показателей при наименьших затратах). По результатам оценки администрацией муниципального образования может быть принято решение о необходимости прекращения или об изменении начиная с очередного финансового года ранее утвержденной муниципальной программы, в том числе необходимости изменения объема бюджетных ассигнований на финансовое обеспечение реализации муниципальной программы.</w:t>
            </w:r>
          </w:p>
        </w:tc>
      </w:tr>
      <w:tr>
        <w:trPr/>
        <w:tc>
          <w:tcPr>
            <w:tcW w:w="1502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bookmarkStart w:id="118" w:name="__DdeLink__28738_2240851442"/>
            <w:r>
              <w:rPr>
                <w:rFonts w:eastAsia="Calibri" w:cs="Times New Roman" w:ascii="PT Astra Serif" w:hAnsi="PT Astra Serif"/>
                <w:color w:val="000000"/>
                <w:sz w:val="22"/>
                <w:szCs w:val="22"/>
                <w:shd w:fill="auto" w:val="clear"/>
              </w:rPr>
              <w:t>Задача 3. «Проведение оценки эффективности налоговых расходов, установленных нормативными правовыми актами Анжеро-Судженского городского округа, с целью выявления неэффективных налоговых расходов»</w:t>
            </w:r>
            <w:bookmarkEnd w:id="118"/>
          </w:p>
        </w:tc>
      </w:tr>
      <w:tr>
        <w:trPr/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3.1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Выявление  неэффективных налоговых расходов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иные мероприятия</w:t>
            </w:r>
          </w:p>
        </w:tc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4"/>
              <w:widowControl w:val="false"/>
              <w:spacing w:lineRule="auto" w:line="240" w:before="0" w:after="0"/>
              <w:rPr/>
            </w:pPr>
            <w:r>
              <w:rPr>
                <w:rStyle w:val="Style11"/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В целях оптимизации налоговых льгот ежегодно проводится оценка эффективности предоставленных налоговых льгот. Оценка проводится ежегодно по факту представления льгот за год предшествующий отчетному.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единиц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2023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0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shd w:fill="auto" w:val="clear"/>
              </w:rPr>
              <w:t>3.1.1.</w:t>
            </w:r>
          </w:p>
        </w:tc>
        <w:tc>
          <w:tcPr>
            <w:tcW w:w="14508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Ежегодно кураторами налоговых расходов проводится оценка курируемых налоговых расходов, выносятся предложения о сохранении или прекращении действия льгот. На основании данных, предоставленных кураторами, формируется сводный отчет об эффективности налоговых расходов за год, предшествующий отчетному. В случае выявления неэффективных налоговых расходов, требующих прекращение предоставления или изменения порядка, сроков или объема предоставления, вносятся изменения в решения СНД о предоставлении соответствующих налоговых льгот.</w:t>
            </w:r>
          </w:p>
        </w:tc>
      </w:tr>
      <w:tr>
        <w:trPr/>
        <w:tc>
          <w:tcPr>
            <w:tcW w:w="1502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bookmarkStart w:id="119" w:name="__DdeLink__29205_2240851442"/>
            <w:r>
              <w:rPr>
                <w:rFonts w:cs="Times New Roman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Задача 4. </w:t>
            </w:r>
            <w:bookmarkStart w:id="120" w:name="__DdeLink__8791_1690009897"/>
            <w:bookmarkEnd w:id="119"/>
            <w:r>
              <w:rPr>
                <w:rFonts w:cs="Times New Roman" w:ascii="PT Astra Serif" w:hAnsi="PT Astra Serif"/>
                <w:color w:val="000000"/>
                <w:sz w:val="22"/>
                <w:szCs w:val="22"/>
                <w:shd w:fill="auto" w:val="clear"/>
              </w:rPr>
              <w:t>«</w:t>
            </w:r>
            <w:bookmarkStart w:id="121" w:name="__DdeLink__9651_4288371289_Копия_1_Копи2"/>
            <w:r>
              <w:rPr>
                <w:rFonts w:cs="Times New Roman" w:ascii="PT Astra Serif" w:hAnsi="PT Astra Serif"/>
                <w:color w:val="000000"/>
                <w:sz w:val="22"/>
                <w:szCs w:val="22"/>
                <w:shd w:fill="auto" w:val="clear"/>
              </w:rPr>
              <w:t>Выявление резервов и перераспределение бюджетных средств в пользу приоритетных направлений и проектов, прежде всего обеспечивающих решение  поставленных в Указах Президента Российской Федерации от 07.05.2012г., 07.05.2018г. задач, н</w:t>
            </w:r>
            <w:r>
              <w:rPr>
                <w:rStyle w:val="Style21"/>
                <w:rFonts w:cs="PT Astra Serif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а содействие достижению национальных целей развития, на </w:t>
            </w:r>
            <w:r>
              <w:rPr>
                <w:rFonts w:cs="Times New Roman" w:ascii="PT Astra Serif" w:hAnsi="PT Astra Serif"/>
                <w:color w:val="000000"/>
                <w:sz w:val="22"/>
                <w:szCs w:val="22"/>
                <w:shd w:fill="auto" w:val="clear"/>
              </w:rPr>
              <w:t>реализацию основных направлений, определенных Стратегией развития городского округа до 2035 года по улучшению качества жизни населения,   на создание условий для экономического роста</w:t>
            </w:r>
            <w:bookmarkEnd w:id="121"/>
            <w:r>
              <w:rPr>
                <w:rFonts w:cs="Times New Roman" w:ascii="Times New Roman" w:hAnsi="Times New Roman"/>
                <w:color w:val="000000"/>
                <w:sz w:val="22"/>
                <w:szCs w:val="22"/>
                <w:shd w:fill="auto" w:val="clear"/>
              </w:rPr>
              <w:t>»</w:t>
            </w:r>
            <w:bookmarkEnd w:id="120"/>
          </w:p>
        </w:tc>
      </w:tr>
      <w:tr>
        <w:trPr/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4.1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Проведение мероприятий по инвентаризации и оценке эффективности мер социальной поддержки граждан, финансовое обеспечение которых осуществляется за счет средств  бюджета </w:t>
            </w: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муниципального образования «Анжеро-Судженский  городской округ Кемеровской области — Кузбасса» </w:t>
            </w:r>
          </w:p>
          <w:p>
            <w:pPr>
              <w:pStyle w:val="Normal"/>
              <w:widowControl w:val="false"/>
              <w:jc w:val="both"/>
              <w:rPr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иные мероприятия</w:t>
            </w:r>
          </w:p>
        </w:tc>
        <w:tc>
          <w:tcPr>
            <w:tcW w:w="4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color w:val="000000"/>
                <w:highlight w:val="none"/>
                <w:shd w:fill="auto" w:val="clear"/>
              </w:rPr>
            </w:pPr>
            <w:bookmarkStart w:id="122" w:name="__DdeLink__28668_2240851442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Постановлением администрации Анжеро-Судженского городского  округа от 26.04.2024 № 320 «Об утверждении плана мероприятий («дорожной карты») по инвентаризации  и оценке эффективности мер социальной поддержки граждан,  финансовое обеспечение которых осуществляется за счет средств бюджета муниципального образования «Анжеро-Судженский городской округ» утверждено ежеквартальное п</w:t>
            </w:r>
            <w:r>
              <w:rPr>
                <w:rFonts w:eastAsia="Calibri" w:cs="PT Astra Serif;Arial" w:ascii="PT Astra Serif" w:hAnsi="PT Astra Serif"/>
                <w:color w:val="000000"/>
                <w:sz w:val="22"/>
                <w:szCs w:val="22"/>
                <w:shd w:fill="auto" w:val="clear"/>
                <w:lang w:eastAsia="en-US"/>
              </w:rPr>
              <w:t>редоставление информации в финансовое управление администрации Анжеро-Судженского городского округа о результатах проведения инвентаризации и оценки эффективности мер социальной поддержки</w:t>
            </w:r>
            <w:bookmarkEnd w:id="122"/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единиц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2023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4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color w:val="000000"/>
                <w:sz w:val="16"/>
                <w:szCs w:val="16"/>
                <w:shd w:fill="auto" w:val="clear"/>
              </w:rPr>
              <w:t>4.1.1.</w:t>
            </w:r>
          </w:p>
        </w:tc>
        <w:tc>
          <w:tcPr>
            <w:tcW w:w="14508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Постановлением администрации Анжеро-Судженского городского  округа от 26.04.2024 № 320 «Об утверждении плана мероприятий («дорожной карты») по инвентаризации  и оценке эффективности мер социальной поддержки граждан,  финансовое обеспечение которых осуществляется за счет средств бюджета муниципального образования «Анжеро-Судженский городской округ» утверждено ежеквартальное п</w:t>
            </w:r>
            <w:r>
              <w:rPr>
                <w:rFonts w:eastAsia="Calibri" w:cs="PT Astra Serif;Arial" w:ascii="PT Astra Serif" w:hAnsi="PT Astra Serif"/>
                <w:color w:val="000000"/>
                <w:sz w:val="22"/>
                <w:szCs w:val="22"/>
                <w:shd w:fill="auto" w:val="clear"/>
                <w:lang w:eastAsia="en-US"/>
              </w:rPr>
              <w:t xml:space="preserve">редоставление информации в финансовое управление администрации Анжеро-Судженского городского округа о результатах проведения инвентаризации и оценки эффективности мер социальной поддержки в рамках отчетных данных по плану мероприятий финансового оздоровления, согласно приложению </w:t>
            </w:r>
            <w:r>
              <w:rPr>
                <w:rFonts w:eastAsia="Calibri" w:cs="PT Astra Serif" w:ascii="PT Astra Serif" w:hAnsi="PT Astra Serif"/>
                <w:color w:val="000000"/>
                <w:sz w:val="22"/>
                <w:szCs w:val="22"/>
                <w:shd w:fill="auto" w:val="clear"/>
                <w:lang w:eastAsia="en-US"/>
              </w:rPr>
              <w:t>к Программе финансового оздоровления муниципального  образования Анжеро-Судженского городского округа Кемеровской области Кузбасса на 2025-2028 годы,  утвержденного постановлением администрации Анжеро-Судженского городского округа о</w:t>
            </w:r>
            <w:r>
              <w:rPr>
                <w:rFonts w:eastAsia="Calibri" w:cs="Tinos" w:ascii="PT Astra Serif" w:hAnsi="PT Astra Serif"/>
                <w:color w:val="000000"/>
                <w:sz w:val="22"/>
                <w:szCs w:val="22"/>
                <w:shd w:fill="auto" w:val="clear"/>
                <w:lang w:eastAsia="en-US"/>
              </w:rPr>
              <w:t>т 27.02.2025 № 276 (в редакции постановления от 01.04.2025 № 423).</w:t>
            </w:r>
          </w:p>
        </w:tc>
      </w:tr>
      <w:tr>
        <w:trPr/>
        <w:tc>
          <w:tcPr>
            <w:tcW w:w="15029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120"/>
              <w:jc w:val="both"/>
              <w:rPr>
                <w:color w:val="000000"/>
                <w:highlight w:val="none"/>
                <w:shd w:fill="auto" w:val="clear"/>
              </w:rPr>
            </w:pPr>
            <w:bookmarkStart w:id="123" w:name="__DdeLink__29207_2240851442"/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>Задача 5. «</w:t>
            </w:r>
            <w:r>
              <w:rPr>
                <w:rFonts w:eastAsia="Calibri"/>
                <w:color w:val="000000"/>
                <w:sz w:val="22"/>
                <w:szCs w:val="22"/>
                <w:shd w:fill="auto" w:val="clear"/>
              </w:rPr>
              <w:t>Контроль за наличием и состоянием просроченной кредиторской задолженности Анжеро-Судженского городского округа и подведомственных учреждений, принятие мер, способствующих снижению накопленной просроченной задолженности»</w:t>
            </w:r>
            <w:bookmarkEnd w:id="123"/>
          </w:p>
        </w:tc>
      </w:tr>
      <w:tr>
        <w:trPr/>
        <w:tc>
          <w:tcPr>
            <w:tcW w:w="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  <w:t>5.1</w:t>
            </w: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В процессе анализа кредиторской задолженности изучается состав, сроки кредиторской задолженности, наличие и причины возникновения задолженности поставщикам ресурсов, персоналу организации по оплате труда, по расчетам с бюджетом. Анализ кредиторской задолженности позволяет оценить финансовую устойчивость, проследить тенденции ее изменения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rFonts w:ascii="PT Astra Serif" w:hAnsi="PT Astra Serif"/>
                <w:color w:val="000000"/>
                <w:sz w:val="28"/>
                <w:szCs w:val="28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  <w:shd w:fill="auto" w:val="clear"/>
              </w:rPr>
            </w:r>
          </w:p>
        </w:tc>
        <w:tc>
          <w:tcPr>
            <w:tcW w:w="4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bookmarkStart w:id="124" w:name="__DdeLink__28674_2240851442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В рамках бухгалтерской и бюджетной отчетности, в результате анализа кредиторской задолженности в Министерство финансов Кузбасса направляются сведения о наличии и объеме задолженности (Сведения по дебиторской и кредиторской задолженности (уницицированные </w:t>
            </w:r>
            <w:hyperlink r:id="rId34" w:tgtFrame="_blank">
              <w:r>
                <w:rPr>
                  <w:rStyle w:val="-"/>
                  <w:rFonts w:ascii="PT Astra Serif" w:hAnsi="PT Astra Serif"/>
                  <w:color w:val="000000"/>
                  <w:sz w:val="22"/>
                  <w:szCs w:val="22"/>
                  <w:u w:val="none"/>
                  <w:shd w:fill="auto" w:val="clear"/>
                </w:rPr>
                <w:t>формы по ОКУД 0503169</w:t>
              </w:r>
            </w:hyperlink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, 0503769) за 6 мес., 9 мес., за отчетный год)</w:t>
            </w:r>
            <w:bookmarkEnd w:id="124"/>
          </w:p>
        </w:tc>
        <w:tc>
          <w:tcPr>
            <w:tcW w:w="1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единиц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3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2024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3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3</w:t>
            </w:r>
          </w:p>
        </w:tc>
        <w:tc>
          <w:tcPr>
            <w:tcW w:w="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3</w:t>
            </w:r>
          </w:p>
        </w:tc>
        <w:tc>
          <w:tcPr>
            <w:tcW w:w="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  <w:tc>
          <w:tcPr>
            <w:tcW w:w="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</w:tr>
      <w:tr>
        <w:trPr/>
        <w:tc>
          <w:tcPr>
            <w:tcW w:w="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shd w:fill="auto" w:val="clear"/>
              </w:rPr>
              <w:t>5.1.1.</w:t>
            </w:r>
          </w:p>
        </w:tc>
        <w:tc>
          <w:tcPr>
            <w:tcW w:w="14508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В рамках бухгалтерской и бюджетной отчетности, в результате анализа кредиторской задолженности в Министерство финансов Кузбасса направляются сведения о наличии и объеме задолженности (Сведения по дебиторской и кредиторской задолженности (уницицированные </w:t>
            </w:r>
            <w:hyperlink r:id="rId35" w:tgtFrame="_blank">
              <w:r>
                <w:rPr>
                  <w:rStyle w:val="-"/>
                  <w:rFonts w:ascii="PT Astra Serif" w:hAnsi="PT Astra Serif"/>
                  <w:color w:val="000000"/>
                  <w:sz w:val="22"/>
                  <w:szCs w:val="22"/>
                  <w:u w:val="none"/>
                  <w:shd w:fill="auto" w:val="clear"/>
                </w:rPr>
                <w:t>формы по ОКУД 0503169</w:t>
              </w:r>
            </w:hyperlink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, 0503769) за 6 мес, 9 мес., за отчетный год). Значение результата включает размещение отчетной информации 3 раза в год.</w:t>
            </w:r>
          </w:p>
        </w:tc>
      </w:tr>
      <w:tr>
        <w:trPr/>
        <w:tc>
          <w:tcPr>
            <w:tcW w:w="15029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120"/>
              <w:jc w:val="both"/>
              <w:rPr>
                <w:color w:val="000000"/>
                <w:highlight w:val="none"/>
                <w:shd w:fill="auto" w:val="clear"/>
              </w:rPr>
            </w:pPr>
            <w:bookmarkStart w:id="125" w:name="__DdeLink__16977_991871113_Копия_1"/>
            <w:bookmarkStart w:id="126" w:name="__DdeLink__17003_991871113"/>
            <w:bookmarkStart w:id="127" w:name="__DdeLink__15711_365160058_Копия_1_Копи1"/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>Задача 6. «</w:t>
            </w:r>
            <w:bookmarkEnd w:id="127"/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Обеспечена  деятельность  </w:t>
            </w:r>
            <w:bookmarkStart w:id="128" w:name="__DdeLink__16939_991871113_Копия_1_Копи1"/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>финансового управления администрации Анжеро-Судженского городского округа</w:t>
            </w:r>
            <w:bookmarkEnd w:id="125"/>
            <w:bookmarkEnd w:id="126"/>
            <w:bookmarkEnd w:id="128"/>
          </w:p>
        </w:tc>
      </w:tr>
      <w:tr>
        <w:trPr/>
        <w:tc>
          <w:tcPr>
            <w:tcW w:w="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6.1.</w:t>
            </w:r>
          </w:p>
        </w:tc>
        <w:tc>
          <w:tcPr>
            <w:tcW w:w="20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color w:val="000000"/>
                <w:highlight w:val="none"/>
                <w:shd w:fill="auto" w:val="clear"/>
              </w:rPr>
            </w:pPr>
            <w:bookmarkStart w:id="129" w:name="__DdeLink__17016_991871113"/>
            <w:bookmarkStart w:id="130" w:name="__DdeLink__17058_991871113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Деятельность по управлению муниципальными финансами, по формированию, сопровождению, мониторингу, исполнению бюджета муниципального образования обеспечена </w:t>
            </w:r>
            <w:bookmarkStart w:id="131" w:name="__DdeLink__16998_991871113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финансовым управлением администрации Анжеро-Судженского городского округа</w:t>
            </w:r>
            <w:bookmarkEnd w:id="129"/>
            <w:bookmarkEnd w:id="130"/>
            <w:bookmarkEnd w:id="131"/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Осуществление текущей деятельности</w:t>
            </w:r>
          </w:p>
        </w:tc>
        <w:tc>
          <w:tcPr>
            <w:tcW w:w="4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Обеспечена деятельность финансового управления администрации Анжеро-Судженского городского округа: расходы на выплаты персоналу — муниципальных служащих, уплата налогов, сборов и иных платежей, иные закупки для муниципальных нужд</w:t>
            </w:r>
          </w:p>
        </w:tc>
        <w:tc>
          <w:tcPr>
            <w:tcW w:w="1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единица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2024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</w:t>
            </w:r>
          </w:p>
        </w:tc>
        <w:tc>
          <w:tcPr>
            <w:tcW w:w="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</w:t>
            </w:r>
          </w:p>
        </w:tc>
        <w:tc>
          <w:tcPr>
            <w:tcW w:w="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PT Astra Serif" w:hAnsi="PT Astra Serif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PT Astra Serif" w:hAnsi="PT Astra Serif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shd w:fill="auto" w:val="clear"/>
              </w:rPr>
              <w:t>6.1.1.</w:t>
            </w:r>
          </w:p>
        </w:tc>
        <w:tc>
          <w:tcPr>
            <w:tcW w:w="14508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Вся финансовая деятельность Анжеро-Судженского  городского округа, в части управления финансами: разработка и планирование бюджета по доходам, расходам, источникам финансирования; мониторинг, сопровождение, исполнение бюджета; ведение реестра расходных обязательств, мониторинг главных распорядителей бюджетных средств, финансовая и бухгалтерская отчетность, финансовое оздоровление, сопровождение, анализ ресурсного обеспечения муниципальных программ, внутренний финансовый контроль и т. д., обеспечивается сотрудниками финансового управления администрации Анжеро-Судженского городского округа. Вся деятельность направлена на безукоризненное исполнение Бюджетного кодекса Россйской Федерации, законодательной, нормативно-правовой документации Российской Федерации, субъекта Российской Федерации, муниципального образования, на своевременное и в полном объеме представления отчетности, запрашиваемой информации, на отслеживание и соответствие экономическим, политическим тенденциям.</w:t>
            </w:r>
          </w:p>
        </w:tc>
      </w:tr>
    </w:tbl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color w:val="000000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  <w:t xml:space="preserve">5. </w:t>
      </w:r>
      <w:bookmarkStart w:id="132" w:name="__DdeLink__4874_1800157355"/>
      <w:r>
        <w:rPr>
          <w:rFonts w:ascii="PT Astra Serif" w:hAnsi="PT Astra Serif"/>
          <w:color w:val="000000"/>
          <w:sz w:val="28"/>
          <w:szCs w:val="28"/>
          <w:shd w:fill="auto" w:val="clear"/>
        </w:rPr>
        <w:t>Финансовое обеспечение комплекса процессных мероприятий</w:t>
      </w:r>
      <w:bookmarkEnd w:id="132"/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tbl>
      <w:tblPr>
        <w:tblW w:w="14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HBand="0" w:noVBand="1" w:firstColumn="1" w:lastRow="0" w:lastColumn="0" w:firstRow="1"/>
      </w:tblPr>
      <w:tblGrid>
        <w:gridCol w:w="4049"/>
        <w:gridCol w:w="2192"/>
        <w:gridCol w:w="1469"/>
        <w:gridCol w:w="1470"/>
        <w:gridCol w:w="1486"/>
        <w:gridCol w:w="1542"/>
        <w:gridCol w:w="1861"/>
      </w:tblGrid>
      <w:tr>
        <w:trPr/>
        <w:tc>
          <w:tcPr>
            <w:tcW w:w="40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100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Объем финансового обеспечения по годам,  тыс. руб. </w:t>
            </w:r>
          </w:p>
        </w:tc>
      </w:tr>
      <w:tr>
        <w:trPr/>
        <w:tc>
          <w:tcPr>
            <w:tcW w:w="40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2026г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2027г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2028г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2029г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2030г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Всего</w:t>
            </w:r>
          </w:p>
        </w:tc>
      </w:tr>
      <w:tr>
        <w:trPr/>
        <w:tc>
          <w:tcPr>
            <w:tcW w:w="4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3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4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5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6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7</w:t>
            </w:r>
          </w:p>
        </w:tc>
      </w:tr>
      <w:tr>
        <w:trPr/>
        <w:tc>
          <w:tcPr>
            <w:tcW w:w="4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Комплекс процессных мероприятий «Обеспечение сбалансированности, устойчивости бюджетной системы и создание условий для повышения эффективности расходов Анжеро-Судженского городского округа» (всего), в том числе: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23725,5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23707,9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23707,9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0,0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0,0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71 14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1,3</w:t>
            </w:r>
          </w:p>
        </w:tc>
      </w:tr>
      <w:tr>
        <w:trPr/>
        <w:tc>
          <w:tcPr>
            <w:tcW w:w="40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Местный бюджет</w:t>
            </w:r>
          </w:p>
        </w:tc>
        <w:tc>
          <w:tcPr>
            <w:tcW w:w="21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23725,5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23707,9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23707,9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0,0</w:t>
            </w:r>
          </w:p>
        </w:tc>
        <w:tc>
          <w:tcPr>
            <w:tcW w:w="15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0,0</w:t>
            </w:r>
          </w:p>
        </w:tc>
        <w:tc>
          <w:tcPr>
            <w:tcW w:w="1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71 14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1,3</w:t>
            </w:r>
          </w:p>
        </w:tc>
      </w:tr>
    </w:tbl>
    <w:p>
      <w:pPr>
        <w:sectPr>
          <w:headerReference w:type="default" r:id="rId36"/>
          <w:headerReference w:type="first" r:id="rId37"/>
          <w:footerReference w:type="default" r:id="rId38"/>
          <w:footerReference w:type="first" r:id="rId39"/>
          <w:type w:val="nextPage"/>
          <w:pgSz w:orient="landscape" w:w="16838" w:h="11906"/>
          <w:pgMar w:left="1134" w:right="1134" w:gutter="0" w:header="0" w:top="1701" w:footer="0" w:bottom="850"/>
          <w:pgNumType w:fmt="decimal"/>
          <w:formProt w:val="false"/>
          <w:titlePg/>
          <w:textDirection w:val="lrTb"/>
          <w:docGrid w:type="default" w:linePitch="100" w:charSpace="0"/>
        </w:sectPr>
      </w:pP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color w:val="000000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  <w:t xml:space="preserve">6. </w:t>
      </w:r>
      <w:bookmarkStart w:id="133" w:name="__DdeLink__4896_1800157355"/>
      <w:r>
        <w:rPr>
          <w:rFonts w:ascii="PT Astra Serif" w:hAnsi="PT Astra Serif"/>
          <w:color w:val="000000"/>
          <w:sz w:val="28"/>
          <w:szCs w:val="28"/>
          <w:shd w:fill="auto" w:val="clear"/>
        </w:rPr>
        <w:t>План реализации комплекса процессных мероприятий</w:t>
      </w:r>
      <w:bookmarkEnd w:id="133"/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HBand="0" w:noVBand="1" w:firstColumn="1" w:lastRow="0" w:lastColumn="0" w:firstRow="1"/>
      </w:tblPr>
      <w:tblGrid>
        <w:gridCol w:w="2886"/>
        <w:gridCol w:w="1249"/>
        <w:gridCol w:w="2555"/>
        <w:gridCol w:w="2379"/>
      </w:tblGrid>
      <w:tr>
        <w:trPr/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Задача, мероприятие (результат) / контрольная точка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Дата наступле-ния контроль-ной точки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000000"/>
                <w:highlight w:val="none"/>
                <w:shd w:fill="auto" w:val="clear"/>
              </w:rPr>
            </w:pPr>
            <w:bookmarkStart w:id="134" w:name="__DdeLink__7156_2425862386"/>
            <w:r>
              <w:rPr>
                <w:rFonts w:ascii="PT Astra Serif" w:hAnsi="PT Astra Serif"/>
                <w:color w:val="000000"/>
                <w:sz w:val="20"/>
                <w:szCs w:val="20"/>
                <w:shd w:fill="auto" w:val="clear"/>
                <w:lang w:eastAsia="zh-CN"/>
              </w:rPr>
              <w:t>Ответственный исполнитель</w:t>
            </w:r>
            <w:r>
              <w:rPr>
                <w:rFonts w:ascii="PT Astra Serif" w:hAnsi="PT Astra Serif"/>
                <w:color w:val="000000"/>
                <w:spacing w:val="1"/>
                <w:sz w:val="20"/>
                <w:szCs w:val="20"/>
                <w:shd w:fill="auto" w:val="clear"/>
                <w:lang w:eastAsia="zh-CN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0"/>
                <w:szCs w:val="20"/>
                <w:shd w:fill="auto" w:val="clear"/>
                <w:lang w:eastAsia="zh-CN"/>
              </w:rPr>
              <w:t>(Ф.И.О., должность, наименование</w:t>
            </w:r>
            <w:r>
              <w:rPr>
                <w:rFonts w:ascii="PT Astra Serif" w:hAnsi="PT Astra Serif"/>
                <w:color w:val="000000"/>
                <w:spacing w:val="-6"/>
                <w:sz w:val="20"/>
                <w:szCs w:val="20"/>
                <w:shd w:fill="auto" w:val="clear"/>
                <w:lang w:eastAsia="zh-CN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0"/>
                <w:szCs w:val="20"/>
                <w:shd w:fill="auto" w:val="clear"/>
                <w:lang w:eastAsia="zh-CN"/>
              </w:rPr>
              <w:t>организации (участник муниципальной программы)</w:t>
            </w:r>
            <w:bookmarkEnd w:id="134"/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Вид подтверждающего документа</w:t>
            </w:r>
          </w:p>
        </w:tc>
      </w:tr>
      <w:tr>
        <w:trPr/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3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4</w:t>
            </w:r>
          </w:p>
        </w:tc>
      </w:tr>
      <w:tr>
        <w:trPr/>
        <w:tc>
          <w:tcPr>
            <w:tcW w:w="90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Задача 1. «Созданы условия для обеспечения долгосрочной сбалансированности и устойчивости местного бюджета»</w:t>
            </w:r>
          </w:p>
        </w:tc>
      </w:tr>
      <w:tr>
        <w:trPr/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Мероприятие 1.1. Обеспечено формирование  бюджета </w:t>
            </w: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>муниципального образования «Анжеро-Судженский  городской округ Кемеровской области — Кузбасса»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, учитывающего приоритеты социально-экономического развития и принципы долгосрочной бюджетной устойчивости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X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Зачиняева Елена Николаевна, начальник финансового управления администрации Анжеро-Судженского городского округа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Бюджетный кодекс Российской Федерации</w:t>
            </w:r>
          </w:p>
        </w:tc>
      </w:tr>
      <w:tr>
        <w:trPr/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Контрольная точка 1.1.1. «Составление, </w:t>
            </w:r>
            <w:r>
              <w:rPr>
                <w:rFonts w:ascii="PT Astra Serif" w:hAnsi="PT Astra Serif"/>
                <w:color w:val="000000"/>
                <w:spacing w:val="-2"/>
                <w:sz w:val="22"/>
                <w:szCs w:val="22"/>
                <w:shd w:fill="auto" w:val="clear"/>
              </w:rPr>
              <w:t xml:space="preserve">прогноз поступлений в текущем финансовом году,  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на очередной финансовый год и на плановый период в бюджет </w:t>
            </w: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муниципального образования «Анжеро-Судженский  городской округ Кемеровской области — Кузбасса» 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 по администрируемым источникам доходов, в том числе за счет поступлений от оказания платных услуг (работ) и компенсации затрат государства, и по администрируемым источникам финансирования дефицита бюджета </w:t>
            </w: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муниципального образования «Анжеро-Судженский  городской округ Кемеровской области — Кузбасса» 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с предоставлением расчетов по видам классификации доходов бюджета </w:t>
            </w: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>муниципального образования «Анжеро-Судженский  городской округ Кемеровской области — Кузбасса»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, а также средств безвозмездных» (п. 3.11 постановления </w:t>
            </w: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  <w:lang w:eastAsia="en-US"/>
              </w:rPr>
              <w:t>администрации Анжеро-Судженского городского округа от 06.05.2024 № 344  «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О внесении изменений в постановление администрации Анжеро-Судженского городского округа от 31.10.2018 № 1456 «Об утверждении Порядка составления проекта бюджета муниципального образования «Анжеро-Судженский городской округ» на очередной финансовый год и на плановый период»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  августа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bookmarkStart w:id="135" w:name="__DdeLink__28680_2240851442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Зачиняева Елена Николаевна, начальник финансового управления администрации Анжеро-Судженского городского округа</w:t>
            </w:r>
            <w:bookmarkEnd w:id="135"/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Письма о предоставлении информации к составлению проекта  бюджета </w:t>
            </w: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муниципаль-ного образования «Анжеро-Судженский  городской округ Кемеровской области — Кузбасса» 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на очередной год и плановый период г</w:t>
            </w:r>
            <w:r>
              <w:rPr>
                <w:rFonts w:ascii="PT Astra Serif" w:hAnsi="PT Astra Serif"/>
                <w:color w:val="000000"/>
                <w:spacing w:val="-5"/>
                <w:w w:val="103"/>
                <w:sz w:val="22"/>
                <w:szCs w:val="22"/>
                <w:shd w:fill="auto" w:val="clear"/>
              </w:rPr>
              <w:t>лавных администрато-ров доходов местного  бюджета и источников финансирования дефицита местного бюджета</w:t>
            </w:r>
          </w:p>
        </w:tc>
      </w:tr>
      <w:tr>
        <w:trPr/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Контрольная точка 1.1.2.</w:t>
            </w:r>
          </w:p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pacing w:val="-2"/>
                <w:sz w:val="22"/>
                <w:szCs w:val="22"/>
                <w:shd w:fill="auto" w:val="clear"/>
              </w:rPr>
              <w:t xml:space="preserve">«Предложения по формированию расходов  бюджета </w:t>
            </w:r>
            <w:r>
              <w:rPr>
                <w:rFonts w:eastAsia="Calibri" w:ascii="PT Astra Serif" w:hAnsi="PT Astra Serif"/>
                <w:color w:val="000000"/>
                <w:spacing w:val="-2"/>
                <w:sz w:val="22"/>
                <w:szCs w:val="22"/>
                <w:shd w:fill="auto" w:val="clear"/>
              </w:rPr>
              <w:t xml:space="preserve">муниципального образования «Анжеро-Судженский  городской округ Кемеровской области — Кузбасса» </w:t>
            </w:r>
            <w:r>
              <w:rPr>
                <w:rFonts w:ascii="PT Astra Serif" w:hAnsi="PT Astra Serif"/>
                <w:color w:val="000000"/>
                <w:spacing w:val="-2"/>
                <w:sz w:val="22"/>
                <w:szCs w:val="22"/>
                <w:shd w:fill="auto" w:val="clear"/>
              </w:rPr>
              <w:t>на очередной финансовый год и на плановый период (по ведомственной структуре) с расчетами и обоснованиями в разрезе классификации расходов бюджетов РФ;  сбор информации о предполагаемой сумме муниципальной гарантии на очередной финансовый год и плановый период»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</w:t>
            </w:r>
            <w:bookmarkStart w:id="136" w:name="__DdeLink__9804_3429019520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 августа</w:t>
            </w:r>
            <w:bookmarkEnd w:id="136"/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Зачиняева Елена Николаевна, начальник финансового управления администрации Анжеро-Судженского городского округа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Письма о предоставлении информации к составлению проекта  бюджета </w:t>
            </w: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муниципаль-ного образования «Анжеро-Судженский  городской округ Кемеровской области — Кузбасса» 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на очередной финансовый  год и на  плановый период г</w:t>
            </w:r>
            <w:r>
              <w:rPr>
                <w:rFonts w:ascii="PT Astra Serif" w:hAnsi="PT Astra Serif"/>
                <w:color w:val="000000"/>
                <w:spacing w:val="-5"/>
                <w:w w:val="103"/>
                <w:sz w:val="22"/>
                <w:szCs w:val="22"/>
                <w:shd w:fill="auto" w:val="clear"/>
              </w:rPr>
              <w:t>лавных распорядителей средств бюджета</w:t>
            </w:r>
          </w:p>
        </w:tc>
      </w:tr>
      <w:tr>
        <w:trPr/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Контрольная точка 1.1.3.</w:t>
            </w:r>
          </w:p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«Сформирован проект </w:t>
            </w:r>
            <w:bookmarkStart w:id="137" w:name="__DdeLink__28713_2240851442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бюджета </w:t>
            </w: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муниципального образования «Анжеро-Судженский  городской округ Кемеровской области — Кузбасса» 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на очередной финансовый год и на плановый период</w:t>
            </w:r>
            <w:bookmarkEnd w:id="137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 и направлен со всеми необходимыми документами и материалами в </w:t>
            </w:r>
            <w:bookmarkStart w:id="138" w:name="__DdeLink__28711_2240851442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контрольно-счетную палату и Совет народных депутатов Анжеро-Судженского городского округа</w:t>
            </w:r>
            <w:bookmarkEnd w:id="138"/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15 ноября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Зачиняева Елена Николаевна, начальник финансового управления администрации Анжеро-Судженского городского округа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Заключение контрольно-счетной палаты Анжеро-Судженского городского округа на предоставленный проект   бюджета </w:t>
            </w: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муниципального образования «Анжеро-Судженский  городской округ Кемеровской области — Кузбасса» 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на очередной финансовый год и на  плановый период</w:t>
            </w:r>
          </w:p>
        </w:tc>
      </w:tr>
      <w:tr>
        <w:trPr/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bookmarkStart w:id="139" w:name="__DdeLink__28702_2240851442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Контрольная точка 1.1.4. </w:t>
            </w:r>
            <w:bookmarkEnd w:id="139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«Принято решение Совета народных депутатов о бюджете</w:t>
            </w:r>
            <w:bookmarkStart w:id="140" w:name="__DdeLink__28704_2240851442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 </w:t>
            </w: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муниципального образования «Анжеро-Судженский  городской округ Кемеровской области — Кузбасса» 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на очередной финансовый год и на плановый период</w:t>
            </w:r>
            <w:bookmarkEnd w:id="140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»</w:t>
            </w: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31 декабря</w:t>
            </w:r>
          </w:p>
        </w:tc>
        <w:tc>
          <w:tcPr>
            <w:tcW w:w="25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bookmarkStart w:id="141" w:name="__DdeLink__28715_2240851442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Зачиняева Елена Николаевна, начальник финансового управления администрации Анжеро-Судженского городского округа</w:t>
            </w:r>
            <w:bookmarkEnd w:id="141"/>
          </w:p>
        </w:tc>
        <w:tc>
          <w:tcPr>
            <w:tcW w:w="2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Решение Совета народных депутатов Анжеро-Судженского городского округа  о  бюджете </w:t>
            </w: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муниципаль-ного образования «Анжеро-Судженский  городской округ Кемеровской области — Кузбасса» 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на очередной финансовый год и на  плановый период</w:t>
            </w:r>
          </w:p>
        </w:tc>
      </w:tr>
      <w:tr>
        <w:trPr/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Мероприятие (результат) 1.2. «Представлена информация о бюджете </w:t>
            </w: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муниципального образования «Анжеро-Судженский  городской округ Кемеровской области — Кузбасса» 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на очередной финансовый год и на  плановый период в доступном и понятном для граждан формате»</w:t>
            </w: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X</w:t>
            </w:r>
          </w:p>
        </w:tc>
        <w:tc>
          <w:tcPr>
            <w:tcW w:w="25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Зачиняева Елена Николаевна, начальник финансового управления администрации Анжеро-Судженского городского округа</w:t>
            </w:r>
          </w:p>
        </w:tc>
        <w:tc>
          <w:tcPr>
            <w:tcW w:w="2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Бюджет для граждан</w:t>
            </w:r>
          </w:p>
        </w:tc>
      </w:tr>
      <w:tr>
        <w:trPr/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Контрольная точка 1.2.1. «Опубликован в формате «Бюджет для граждан» проект отчета об исполнении  бюджета </w:t>
            </w: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>муниципального образования «Анжеро-Судженский  городской округ Кемеровской области — Кузбасса»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 мая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Зачиняева Елена Николаевна, начальник финансового управления администрации Анжеро-Судженского городского округа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Бюджет для граждан</w:t>
            </w:r>
          </w:p>
        </w:tc>
      </w:tr>
      <w:tr>
        <w:trPr/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Контрольная точка 1.2.2. «Опубликован в формате «Бюджет для граждан» отчет об исполнении  бюджета </w:t>
            </w: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>муниципального образования «Анжеро-Судженский  городской округ Кемеровской области — Кузбасса»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 июня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Зачиняева Елена Николаевна, начальник финансового управления администрации Анжеро-Судженского городского округа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Бюджет для граждан</w:t>
            </w:r>
          </w:p>
        </w:tc>
      </w:tr>
      <w:tr>
        <w:trPr/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Контрольная точка 1.2.3. «Опубликован в формате «Бюджет для граждан» проект  бюджета </w:t>
            </w: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муниципального образования «Анжеро-Судженский  городской округ Кемеровской области — Кузбасса» 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на очередной финансовый год и плановый период»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15 ноября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Зачиняева Елена Николаевна, начальник финансового управления администрации Анжеро-Судженского городского округа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Бюджет для граждан</w:t>
            </w:r>
          </w:p>
        </w:tc>
      </w:tr>
      <w:tr>
        <w:trPr/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Контрольная точка 1.2.4. «Опубликован в формате «Бюджет для граждан» утвержденный бюджет </w:t>
            </w: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муниципального образования «Анжеро-Судженский  городской округ Кемеровской области — Кузбасса» 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на очередной финансовый год и на  плановый период»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31 декабря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Зачиняева Елена Николаевна, начальник финансового управления администрации Анжеро-Судженского городского округа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Бюджет для граждан</w:t>
            </w:r>
          </w:p>
        </w:tc>
      </w:tr>
      <w:tr>
        <w:trPr/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Мероприятие 1.3. «Размещена в открытом доступе наглядная информация, отражающая формирование бюджетной отчетности»</w:t>
            </w: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X</w:t>
            </w:r>
          </w:p>
        </w:tc>
        <w:tc>
          <w:tcPr>
            <w:tcW w:w="25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Зачиняева Елена Николаевна, начальник финансового управления администрации Анжеро-Судженского городского округа</w:t>
            </w:r>
          </w:p>
        </w:tc>
        <w:tc>
          <w:tcPr>
            <w:tcW w:w="2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Отчет об исполнении  бюджета </w:t>
            </w: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муниципаль-ного образования «Анжеро-Судженский  городской округ Кемеровской области — Кузбасса» </w:t>
            </w:r>
          </w:p>
        </w:tc>
      </w:tr>
      <w:tr>
        <w:trPr/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Контрольная точка 1.3.1. «Размещен отчет об исполнении  бюджета </w:t>
            </w: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муниципального образования «Анжеро-Судженский  городской округ Кемеровской области — Кузбасса» 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за I </w:t>
            </w:r>
          </w:p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квартал»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18 апреля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Зачиняева Елена Николаевна, начальник финансового управления администрации Анжеро-Судженского городского округа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bookmarkStart w:id="142" w:name="__DdeLink__28717_2240851442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Отчет об исполнении бюджета</w:t>
            </w:r>
            <w:bookmarkEnd w:id="142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 </w:t>
            </w: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муниципаль-ного образования «Анжеро-Судженский  городской округ Кемеровской области — Кузбасса» </w:t>
            </w:r>
          </w:p>
        </w:tc>
      </w:tr>
      <w:tr>
        <w:trPr/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Контрольная точка 1.3.2. «Размещен отчет об исполнении  бюджета </w:t>
            </w: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муниципального образования «Анжеро-Судженский  городской округ Кемеровской области — Кузбасса» 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за первое полугодие»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18 июля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Зачиняева Елена Николаевна, начальник финансового управления администрации Анжеро-Судженского городского округа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Отчет об исполнении бюджета </w:t>
            </w: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муниципаль-ного образования «Анжеро-Судженский  городской округ Кемеровской области — Кузбасса» </w:t>
            </w:r>
          </w:p>
        </w:tc>
      </w:tr>
      <w:tr>
        <w:trPr/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Контрольная точка 1.3.3. «Размещен отчет об исполнении  бюджета </w:t>
            </w: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муниципального образования «Анжеро-Судженский  городской округ Кемеровской области — Кузбасса» 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за 9 месяцев»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18 октября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Зачиняева Елена Николаевна, начальник финансового управления администрации Анжеро-Судженского городского округа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Отчет об исполнении бюджета </w:t>
            </w: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муниципаль-ного образования «Анжеро-Судженский  городской округ Кемеровской области — Кузбасса» </w:t>
            </w:r>
          </w:p>
        </w:tc>
      </w:tr>
      <w:tr>
        <w:trPr/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Контрольная точка 1.3.4. «Размещено решение Совета народных депутатов Анжеро-Судженского городского округа  об исполнении  бюджета </w:t>
            </w: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муниципального образования «Анжеро-Судженский  городской округ Кемеровской области — Кузбасса» 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за отчетный финансовый год»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 июня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Зачиняева Елена Николаевна, начальник финансового управления администрации Анжеро-Судженского городского округа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Решение Совета народных депутатов Анжеро-Судженского городского округа об исполнении  бюджета </w:t>
            </w: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муниципального образования «Анжеро-Судженский  городской округ Кемеровской области — Кузбасса» </w:t>
            </w:r>
          </w:p>
        </w:tc>
      </w:tr>
      <w:tr>
        <w:trPr/>
        <w:tc>
          <w:tcPr>
            <w:tcW w:w="90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12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>Задача 2. «Муниципальными программами охвачены преимущественно все сферы деятельности органов исполнительной власти и, соответственно, большей части бюджетных ассигнований, других материальных ресурсов, находящихся в управлении»</w:t>
            </w:r>
          </w:p>
        </w:tc>
      </w:tr>
      <w:tr>
        <w:trPr/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Мероприятие 2.1. «Обеспечено формирование  бюджета </w:t>
            </w: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муниципального образования «Анжеро-Судженский  городской округ Кемеровской области — Кузбасса» 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в программном формате»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Зачиняева Елена Николаевна, начальник финансового управления администрации Анжеро-Судженского городского округа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Решение Совета народных депутатов о  бюджете </w:t>
            </w: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муниципаль-ного образования «Анжеро-Судженский  городской округ Кемеровской области — Кузбасса» 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на очередной финансовый год и на  плановый период</w:t>
            </w:r>
          </w:p>
        </w:tc>
      </w:tr>
      <w:tr>
        <w:trPr/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Контрольная точка 2.1.1.</w:t>
            </w:r>
          </w:p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Решением Совета народных депутатом Анжеро-Судженского городского округа о  бюджете </w:t>
            </w: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муниципального образования «Анжеро-Судженский  городской округ Кемеровской области — Кузбасса» 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на очередной финансовый год и на плановый период утверждается распределение бюджетных ассигнований на реализацию муниципальных программ и непрограммных направлений деятельности</w:t>
            </w: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31 декабря</w:t>
            </w:r>
          </w:p>
        </w:tc>
        <w:tc>
          <w:tcPr>
            <w:tcW w:w="25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Зачиняева Елена Николаевна, начальник финансового управления администрации Анжеро-Судженского городского округа</w:t>
            </w:r>
          </w:p>
        </w:tc>
        <w:tc>
          <w:tcPr>
            <w:tcW w:w="2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Решение Совета народных депутатов о бюджете </w:t>
            </w: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муниципаль-ного образования «Анжеро-Судженский  городской округ Кемеровской области — Кузбасса» 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на очередной финансовый год и на  плановый период</w:t>
            </w:r>
          </w:p>
        </w:tc>
      </w:tr>
      <w:tr>
        <w:trPr/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Мероприятие 2.2.</w:t>
            </w:r>
          </w:p>
          <w:p>
            <w:pPr>
              <w:pStyle w:val="Style23"/>
              <w:widowControl w:val="false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 xml:space="preserve">Результативность и эффективность бюджетных расходов  ориентирована на достижение целей муниципальных программ и  социально-экономической  политики  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Анжеро-Судженского городского округа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PT Astra Serif" w:hAnsi="PT Astra Serif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PT Astra Serif" w:hAnsi="PT Astra Serif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Контрольная точка 2.2.1. «Проверка данных, представленных директорами муниципальных программ в части финансового обеспечения муниципальных программ, мониторинг внесения изменений в соответствующие постановления по объемам финансового обеспечения, формирование сводного отчета об использовании ассигнований местного бюджета на реализацию муниципальных программ за отчетный год»</w:t>
            </w: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25 февраля</w:t>
            </w:r>
          </w:p>
        </w:tc>
        <w:tc>
          <w:tcPr>
            <w:tcW w:w="25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Зачиняева Елена Николаевна, начальник финансового управления администрации Анжеро-Судженского городского округа</w:t>
            </w:r>
          </w:p>
        </w:tc>
        <w:tc>
          <w:tcPr>
            <w:tcW w:w="2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Сводный годовой отчет об использовании средств бюджета на реализацию муниципальных  программ</w:t>
            </w:r>
          </w:p>
        </w:tc>
      </w:tr>
      <w:tr>
        <w:trPr/>
        <w:tc>
          <w:tcPr>
            <w:tcW w:w="90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eastAsia="Calibri" w:cs="Times New Roman" w:ascii="PT Astra Serif" w:hAnsi="PT Astra Serif"/>
                <w:color w:val="000000"/>
                <w:sz w:val="22"/>
                <w:szCs w:val="22"/>
                <w:shd w:fill="auto" w:val="clear"/>
              </w:rPr>
              <w:t>Задача 3 «Проведение оценки эффективности налоговых расходов, установленных нормативными правовыми актами Анжеро-Судженского городского округа, с целью выявления неэффективных налоговых расходов»</w:t>
            </w:r>
          </w:p>
        </w:tc>
      </w:tr>
      <w:tr>
        <w:trPr>
          <w:trHeight w:val="1875" w:hRule="atLeast"/>
        </w:trPr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2"/>
              <w:widowControl w:val="false"/>
              <w:numPr>
                <w:ilvl w:val="1"/>
                <w:numId w:val="1"/>
              </w:numPr>
              <w:spacing w:before="200" w:after="12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b w:val="false"/>
                <w:bCs w:val="false"/>
                <w:color w:val="000000"/>
                <w:sz w:val="22"/>
                <w:szCs w:val="22"/>
                <w:shd w:fill="auto" w:val="clear"/>
              </w:rPr>
              <w:t>Мероприятие 3.1. «Выявление  неэффективных налоговых расходов»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Кураторы налоговых расходов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Результаты проведения оценки курируемых налоговых расходов</w:t>
            </w:r>
          </w:p>
        </w:tc>
      </w:tr>
      <w:tr>
        <w:trPr/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Контрольная точка 3.1.1. «Запрос информации о предоставленных налоговых льготах за предшествующий отчетному финансовый год»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10 марта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МРИ ФНС № 9 по Кемеровской области -  Кузбассу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Служебное письмо - запрос</w:t>
            </w:r>
          </w:p>
        </w:tc>
      </w:tr>
      <w:tr>
        <w:trPr/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Контрольная точка 3.1.2. «Оценка эффективности налоговых расходов  в виде сводного отчета об оценке налоговых расходов за год предшествующий отчетному на основании представленных отчетов кураторов налоговых расходов»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15  мая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Зачиняева Елена Николаевна, начальник финансового управления администрации Анжеро-Судженского городского округа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Сводный отчет об оценке эффективности налоговых расходов за год, предшествующий отчетному</w:t>
            </w:r>
          </w:p>
        </w:tc>
      </w:tr>
      <w:tr>
        <w:trPr/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Контрольная точка 3.1.3. «Представление в </w:t>
            </w:r>
            <w:bookmarkStart w:id="143" w:name="__DdeLink__5427_1823475484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Министерство финансов Кузбасса</w:t>
            </w:r>
            <w:bookmarkEnd w:id="143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 сводного отчета об оценке эффективности  налоговых расходов за предшествующий отчетному год»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05 июня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Зачиняева Елена Николаевна, начальник финансового управления администрации Анжеро-Судженского городского округа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Письмо в Министерство финансов Кузбасса  о представлении в соответствии с заключенным соглашением «О мерах по социально-экономическому развитию и оздоровлению муниципальных финансов» сводного отчета об оценке эффективности налоговых расходов за год, предшествующий отчетному</w:t>
            </w:r>
          </w:p>
        </w:tc>
      </w:tr>
      <w:tr>
        <w:trPr/>
        <w:tc>
          <w:tcPr>
            <w:tcW w:w="906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cs="Times New Roman" w:ascii="PT Astra Serif" w:hAnsi="PT Astra Serif"/>
                <w:color w:val="000000"/>
                <w:sz w:val="22"/>
                <w:szCs w:val="22"/>
                <w:shd w:fill="auto" w:val="clear"/>
              </w:rPr>
              <w:t>Задача 4. «</w:t>
            </w:r>
            <w:bookmarkStart w:id="144" w:name="__DdeLink__9651_4288371289_Копия_1_Копи3"/>
            <w:r>
              <w:rPr>
                <w:rFonts w:cs="Times New Roman" w:ascii="PT Astra Serif" w:hAnsi="PT Astra Serif"/>
                <w:color w:val="000000"/>
                <w:sz w:val="22"/>
                <w:szCs w:val="22"/>
                <w:shd w:fill="auto" w:val="clear"/>
              </w:rPr>
              <w:t>Выявление резервов и перераспределение бюджетных средств в пользу приоритетных направлений и проектов, прежде всего обеспечивающих решение  поставленных в Указах Президента Российской Федерации от 07.05.2012г., 07.05.2018г. задач, н</w:t>
            </w:r>
            <w:r>
              <w:rPr>
                <w:rStyle w:val="Style21"/>
                <w:rFonts w:cs="PT Astra Serif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а содействие достижению национальных целей развития, на </w:t>
            </w:r>
            <w:r>
              <w:rPr>
                <w:rFonts w:cs="Times New Roman" w:ascii="PT Astra Serif" w:hAnsi="PT Astra Serif"/>
                <w:color w:val="000000"/>
                <w:sz w:val="22"/>
                <w:szCs w:val="22"/>
                <w:shd w:fill="auto" w:val="clear"/>
              </w:rPr>
              <w:t>реализацию основных направлений, определенных Стратегией развития городского округа до 2035 года по улучшению качества жизни населения,   на создание условий для экономического роста</w:t>
            </w:r>
            <w:bookmarkEnd w:id="144"/>
            <w:r>
              <w:rPr>
                <w:rFonts w:cs="Times New Roman" w:ascii="Times New Roman" w:hAnsi="Times New Roman"/>
                <w:color w:val="000000"/>
                <w:sz w:val="22"/>
                <w:szCs w:val="22"/>
                <w:shd w:fill="auto" w:val="clear"/>
              </w:rPr>
              <w:t>»</w:t>
            </w:r>
          </w:p>
        </w:tc>
      </w:tr>
      <w:tr>
        <w:trPr/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Мероприятие 4.1. «Обобщение результатов, проведенных главными распорядителями средств, предоставляющими меры социальной поддержки граждан по инвентаризации и оценке эффективности </w:t>
            </w:r>
            <w:bookmarkStart w:id="145" w:name="__DdeLink__8804_1690009897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мер социальной поддержки граждан,</w:t>
            </w:r>
            <w:bookmarkEnd w:id="145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 финансовое обеспечение которых осуществляется за счет средств бюджета </w:t>
            </w: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>муниципального образования «Анжеро-Судженский  городской округ Кемеровской области — Кузбасса» и представление обобщенных сведений в администрацию Кемеровской области — Кузбасса в рамках ежеквартального исполнения плана мероприятий по финансовому оздоровлению финансов Анжеро-Судженского городского округа»</w:t>
            </w: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X</w:t>
            </w:r>
          </w:p>
        </w:tc>
        <w:tc>
          <w:tcPr>
            <w:tcW w:w="25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Зачиняева Елена Николаевна, начальник финансового управления администрации Анжеро-Судженского городского округа</w:t>
            </w:r>
          </w:p>
        </w:tc>
        <w:tc>
          <w:tcPr>
            <w:tcW w:w="2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Обобщенные данные, предоставленные по итогам проведенной инвентаризации </w:t>
            </w:r>
            <w:bookmarkStart w:id="146" w:name="__DdeLink__8816_1690009897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ГРБС, оказывающих меры соц.поддержки</w:t>
            </w:r>
            <w:bookmarkEnd w:id="146"/>
          </w:p>
        </w:tc>
      </w:tr>
      <w:tr>
        <w:trPr/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Контрольная точка 4.1.1.</w:t>
            </w:r>
          </w:p>
          <w:p>
            <w:pPr>
              <w:pStyle w:val="Style31"/>
              <w:widowControl w:val="false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cs="PT Astra Serif;Arial" w:ascii="PT Astra Serif" w:hAnsi="PT Astra Serif"/>
                <w:color w:val="000000"/>
                <w:sz w:val="22"/>
                <w:szCs w:val="22"/>
                <w:shd w:fill="auto" w:val="clear"/>
              </w:rPr>
              <w:t>Подготовка предложений и внесении изменений в нормативные правовые акты по предоставлению мер социальной поддержки гражданам Анжеро-Судженского городского округа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 августа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cs="PT Astra Serif;Arial" w:ascii="PT Astra Serif" w:hAnsi="PT Astra Serif"/>
                <w:color w:val="000000"/>
                <w:sz w:val="22"/>
                <w:szCs w:val="22"/>
                <w:shd w:fill="auto" w:val="clear"/>
              </w:rPr>
              <w:t>Руководители ГРБС, оказывающих меры соц.поддержки  (управление социальной защиты населения,  управление образования, управление культуры, комитет по  физической культуре,  спорту и молодежной политике, управление жилищно-коммунального хозяйства)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cs="PT Astra Serif;Arial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Письма с предложениями о внесении изменений и соответствующие внесения изменений в постановления, нормативные правовые акты в </w:t>
            </w:r>
            <w:r>
              <w:rPr>
                <w:rFonts w:eastAsia="Calibri" w:cs="PT Astra Serif;Arial" w:ascii="PT Astra Serif" w:hAnsi="PT Astra Serif"/>
                <w:color w:val="000000"/>
                <w:sz w:val="22"/>
                <w:szCs w:val="22"/>
                <w:shd w:fill="auto" w:val="clear"/>
                <w:lang w:eastAsia="en-US"/>
              </w:rPr>
              <w:t>результате проведения инвентаризации и оценки эффективности мер социальной поддержки</w:t>
            </w:r>
          </w:p>
        </w:tc>
      </w:tr>
      <w:tr>
        <w:trPr/>
        <w:tc>
          <w:tcPr>
            <w:tcW w:w="90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12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>Задача 5. «Контроль за наличием и состоянием просроченной кредиторской задолженности  Анжеро-Судженского городского округа и подведомственных учреждений, принятие мер, способствующих снижению накопленной просроченной задолженности»</w:t>
            </w:r>
          </w:p>
        </w:tc>
      </w:tr>
      <w:tr>
        <w:trPr/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color w:val="000000"/>
                <w:highlight w:val="none"/>
                <w:shd w:fill="auto" w:val="clear"/>
              </w:rPr>
            </w:pPr>
            <w:bookmarkStart w:id="147" w:name="__DdeLink__17008_991871113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Мероприятие 5.1.</w:t>
            </w:r>
            <w:bookmarkEnd w:id="147"/>
          </w:p>
          <w:p>
            <w:pPr>
              <w:pStyle w:val="Normal"/>
              <w:widowControl w:val="false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В процессе анализа кредиторской задолженности изучается состав, сроки кредиторской задолженности, наличие и причины возникновения задолженности поставщикам ресурсов, персоналу организации по оплате труда, по расчетам с бюджетом. Анализ кредиторской задолженности позволяет оценить финансовую устойчивость, проследить тенденции ее изменения</w:t>
            </w: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25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Зачиняева Елена Николаевна, начальник финансового управления администрации Анжеро-Судженского городского округа</w:t>
            </w:r>
          </w:p>
        </w:tc>
        <w:tc>
          <w:tcPr>
            <w:tcW w:w="2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/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Унифицированные </w:t>
            </w:r>
            <w:hyperlink r:id="rId40" w:tgtFrame="_blank">
              <w:r>
                <w:rPr>
                  <w:rStyle w:val="-"/>
                  <w:rFonts w:ascii="PT Astra Serif" w:hAnsi="PT Astra Serif"/>
                  <w:color w:val="000000"/>
                  <w:sz w:val="22"/>
                  <w:szCs w:val="22"/>
                  <w:u w:val="none"/>
                  <w:shd w:fill="auto" w:val="clear"/>
                </w:rPr>
                <w:t>формы по ОКУД 0503169</w:t>
              </w:r>
            </w:hyperlink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, 0503769</w:t>
            </w:r>
          </w:p>
        </w:tc>
      </w:tr>
      <w:tr>
        <w:trPr/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bookmarkStart w:id="148" w:name="__DdeLink__17019_991871113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Контрольная точка 5.1.1. </w:t>
            </w:r>
            <w:bookmarkEnd w:id="148"/>
          </w:p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«В рамках годовой бухгалтерской и бюджетной отчетности в Министерство финансов  Кузбасса направляются сведения о наличии и объеме задолженности»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18 февраля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Зачиняева Елена Николаевна, начальник финансового управления администрации Анжеро-Судженского городского округа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/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Унифицированные </w:t>
            </w:r>
            <w:hyperlink r:id="rId41" w:tgtFrame="_blank">
              <w:r>
                <w:rPr>
                  <w:rStyle w:val="-"/>
                  <w:rFonts w:ascii="PT Astra Serif" w:hAnsi="PT Astra Serif"/>
                  <w:color w:val="000000"/>
                  <w:sz w:val="22"/>
                  <w:szCs w:val="22"/>
                  <w:u w:val="none"/>
                  <w:shd w:fill="auto" w:val="clear"/>
                </w:rPr>
                <w:t>формы по ОКУД 0503169</w:t>
              </w:r>
            </w:hyperlink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, 0503769</w:t>
            </w:r>
          </w:p>
        </w:tc>
      </w:tr>
      <w:tr>
        <w:trPr/>
        <w:tc>
          <w:tcPr>
            <w:tcW w:w="906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120"/>
              <w:jc w:val="both"/>
              <w:rPr>
                <w:color w:val="000000"/>
                <w:highlight w:val="none"/>
                <w:shd w:fill="auto" w:val="clear"/>
              </w:rPr>
            </w:pPr>
            <w:bookmarkStart w:id="149" w:name="__DdeLink__16977_991871113_Копия_1_Копия"/>
            <w:bookmarkStart w:id="150" w:name="__DdeLink__15711_365160058_Копия_1_Копи2"/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>Задача 6. «</w:t>
            </w:r>
            <w:bookmarkEnd w:id="150"/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Обеспечена  деятельность  </w:t>
            </w:r>
            <w:bookmarkStart w:id="151" w:name="__DdeLink__16939_991871113_Копия_1_Копи2"/>
            <w:bookmarkStart w:id="152" w:name="__DdeLink__17027_991871113"/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>финансового управления администрации Анжеро-Судженского городского округа</w:t>
            </w:r>
            <w:bookmarkEnd w:id="149"/>
            <w:bookmarkEnd w:id="151"/>
            <w:bookmarkEnd w:id="152"/>
          </w:p>
        </w:tc>
      </w:tr>
      <w:tr>
        <w:trPr/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Мероприятие 6.1.</w:t>
            </w:r>
          </w:p>
          <w:p>
            <w:pPr>
              <w:pStyle w:val="Normal"/>
              <w:widowControl w:val="false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Деятельность по управлению муниципальными финансами, по формированию, сопровождению, мониторингу, исполнению бюджета </w:t>
            </w: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муниципального образования «Анжеро-Судженский  городской округ Кемеровской области — Кузбасса» 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обеспечена </w:t>
            </w:r>
            <w:bookmarkStart w:id="153" w:name="__DdeLink__16998_991871113_Копия_1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финансовым управлением администрации Анжеро-Судженского городского округа</w:t>
            </w:r>
            <w:bookmarkEnd w:id="153"/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25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Зачиняева Елена Николаевна, начальник финансового управления администрации Анжеро-Судженского городского округа</w:t>
            </w:r>
          </w:p>
        </w:tc>
        <w:tc>
          <w:tcPr>
            <w:tcW w:w="2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Контрольная точка 6.1.1.</w:t>
            </w:r>
          </w:p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«Обеспечено финансовое содержание </w:t>
            </w:r>
            <w:bookmarkStart w:id="154" w:name="__DdeLink__16939_991871113_Копия_1_Копи3"/>
            <w:r>
              <w:rPr>
                <w:rFonts w:eastAsia="Calibri" w:cs="Times New Roman" w:ascii="PT Astra Serif" w:hAnsi="PT Astra Serif"/>
                <w:color w:val="000000"/>
                <w:sz w:val="22"/>
                <w:szCs w:val="22"/>
                <w:shd w:fill="auto" w:val="clear"/>
              </w:rPr>
              <w:t>финансового управления администрации Анжеро-Судженского городского округа</w:t>
            </w:r>
            <w:bookmarkEnd w:id="154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 в 2026 году»</w:t>
            </w: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31 декабря</w:t>
            </w:r>
          </w:p>
        </w:tc>
        <w:tc>
          <w:tcPr>
            <w:tcW w:w="25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Зачиняева Елена Николаевна, начальник финансового управления администрации Анжеро-Судженского городского округа</w:t>
            </w:r>
          </w:p>
        </w:tc>
        <w:tc>
          <w:tcPr>
            <w:tcW w:w="2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</w:tr>
      <w:tr>
        <w:trPr/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Контрольная точка 6.1.2.</w:t>
            </w:r>
          </w:p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«Обеспечено финансовое содержание </w:t>
            </w:r>
            <w:bookmarkStart w:id="155" w:name="__DdeLink__16939_991871113_Копия_1_Копи4"/>
            <w:r>
              <w:rPr>
                <w:rFonts w:eastAsia="Calibri" w:cs="Times New Roman" w:ascii="PT Astra Serif" w:hAnsi="PT Astra Serif"/>
                <w:color w:val="000000"/>
                <w:sz w:val="22"/>
                <w:szCs w:val="22"/>
                <w:shd w:fill="auto" w:val="clear"/>
              </w:rPr>
              <w:t>финансового управления администрации Анжеро-Судженского городского округа</w:t>
            </w:r>
            <w:bookmarkEnd w:id="155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 в 2027 году»</w:t>
            </w: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31 декабря</w:t>
            </w:r>
          </w:p>
        </w:tc>
        <w:tc>
          <w:tcPr>
            <w:tcW w:w="25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Зачиняева Елена Николаевна, начальник финансового управления администрации Анжеро-Судженского городского округа</w:t>
            </w:r>
          </w:p>
        </w:tc>
        <w:tc>
          <w:tcPr>
            <w:tcW w:w="2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</w:tr>
      <w:tr>
        <w:trPr/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Контрольная точка 6.1.3.</w:t>
            </w:r>
          </w:p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«Обеспечено финансовое содержание </w:t>
            </w:r>
            <w:bookmarkStart w:id="156" w:name="__DdeLink__16939_991871113_Копия_1_Копи5"/>
            <w:r>
              <w:rPr>
                <w:rFonts w:eastAsia="Calibri" w:cs="Times New Roman" w:ascii="PT Astra Serif" w:hAnsi="PT Astra Serif"/>
                <w:color w:val="000000"/>
                <w:sz w:val="22"/>
                <w:szCs w:val="22"/>
                <w:shd w:fill="auto" w:val="clear"/>
              </w:rPr>
              <w:t>финансового управления администрации Анжеро-Судженского городского округа</w:t>
            </w:r>
            <w:bookmarkEnd w:id="156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 в 2028 году»</w:t>
            </w: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31 декабря</w:t>
            </w:r>
          </w:p>
        </w:tc>
        <w:tc>
          <w:tcPr>
            <w:tcW w:w="25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Зачиняева Елена Николаевна, начальник финансового управления администрации Анжеро-Судженского городского округа</w:t>
            </w:r>
          </w:p>
        </w:tc>
        <w:tc>
          <w:tcPr>
            <w:tcW w:w="2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</w:tr>
    </w:tbl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Normal1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Приложение  4</w:t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к муниципальной программе «Управление муниципальными финансами Анжеро-Судженского городского округа»,</w:t>
      </w:r>
    </w:p>
    <w:p>
      <w:pPr>
        <w:pStyle w:val="14"/>
        <w:widowControl/>
        <w:shd w:val="clear" w:color="auto" w:fill="auto"/>
        <w:suppressAutoHyphens w:val="true"/>
        <w:overflowPunct w:val="true"/>
        <w:bidi w:val="0"/>
        <w:spacing w:lineRule="auto" w:line="240" w:before="0" w:after="0"/>
        <w:ind w:left="3402" w:right="0" w:hanging="1304"/>
        <w:jc w:val="right"/>
        <w:rPr>
          <w:rFonts w:ascii="Times New Roman" w:hAnsi="Times New Roman"/>
        </w:rPr>
      </w:pPr>
      <w:r>
        <w:rPr>
          <w:color w:val="000000"/>
          <w:shd w:fill="auto" w:val="clear"/>
        </w:rPr>
        <w:t xml:space="preserve">утвержденной постановлением администрации  Анжеро-Судженского городского округа </w:t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 xml:space="preserve">      </w:t>
      </w:r>
      <w:r>
        <w:rPr>
          <w:rFonts w:ascii="Times New Roman" w:hAnsi="Times New Roman"/>
          <w:color w:val="000000"/>
          <w:sz w:val="28"/>
          <w:szCs w:val="28"/>
          <w:shd w:fill="auto" w:val="clear"/>
        </w:rPr>
        <w:t xml:space="preserve">от _________________   № ________ </w:t>
      </w:r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Title"/>
        <w:jc w:val="center"/>
        <w:rPr>
          <w:color w:val="000000"/>
          <w:highlight w:val="none"/>
          <w:shd w:fill="auto" w:val="clear"/>
        </w:rPr>
      </w:pPr>
      <w:bookmarkStart w:id="157" w:name="P1965"/>
      <w:bookmarkEnd w:id="157"/>
      <w:r>
        <w:rPr>
          <w:rFonts w:ascii="PT Astra Serif" w:hAnsi="PT Astra Serif"/>
          <w:color w:val="000000"/>
          <w:sz w:val="28"/>
          <w:szCs w:val="28"/>
          <w:shd w:fill="auto" w:val="clear"/>
        </w:rPr>
        <w:t>ПАСПОРТ</w:t>
      </w:r>
    </w:p>
    <w:p>
      <w:pPr>
        <w:pStyle w:val="ConsPlusTitle"/>
        <w:jc w:val="center"/>
        <w:rPr>
          <w:color w:val="000000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  <w:t>КОМПЛЕКСА ПРОЦЕССНЫХ МЕРОПРИЯТИЙ</w:t>
      </w:r>
    </w:p>
    <w:p>
      <w:pPr>
        <w:pStyle w:val="ConsPlusTitle"/>
        <w:jc w:val="center"/>
        <w:rPr>
          <w:color w:val="000000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  <w:t>«УПРАВЛЕНИЕ МУНИЦИПАЛЬНЫМ ДОЛГОМ»</w:t>
      </w:r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color w:val="000000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  <w:t>1. Общие положения</w:t>
      </w:r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tbl>
      <w:tblPr>
        <w:tblW w:w="930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HBand="0" w:noVBand="1" w:firstColumn="1" w:lastRow="0" w:lastColumn="0" w:firstRow="1"/>
      </w:tblPr>
      <w:tblGrid>
        <w:gridCol w:w="3401"/>
        <w:gridCol w:w="5898"/>
      </w:tblGrid>
      <w:tr>
        <w:trPr/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  <w:shd w:fill="auto" w:val="clear"/>
              </w:rPr>
              <w:t>Ответственный орган исполнительной власти Анжеро-Судженского городского округа (соисполнитель муниципальной программы Анжеро-Судженского городского округа)</w:t>
            </w:r>
          </w:p>
        </w:tc>
        <w:tc>
          <w:tcPr>
            <w:tcW w:w="5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  <w:shd w:fill="auto" w:val="clear"/>
              </w:rPr>
              <w:t>Финансовое управление администрации Анжеро-Судженского городского округа (Зачиняева Елена Николаевна — начальник финансового управления администрации Анжеро-Судженского городского округа)</w:t>
            </w:r>
          </w:p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</w:r>
          </w:p>
        </w:tc>
      </w:tr>
      <w:tr>
        <w:trPr/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  <w:shd w:fill="auto" w:val="clear"/>
              </w:rPr>
              <w:t>Связь с муниципальной программой Анжеро-Судженского городского округа</w:t>
            </w:r>
          </w:p>
        </w:tc>
        <w:tc>
          <w:tcPr>
            <w:tcW w:w="5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  <w:shd w:fill="auto" w:val="clear"/>
              </w:rPr>
              <w:t>Муниципальная программа «Управление муниципальными финансами Анжеро-Судженского городского округа»</w:t>
            </w:r>
          </w:p>
        </w:tc>
      </w:tr>
    </w:tbl>
    <w:p>
      <w:pPr>
        <w:sectPr>
          <w:headerReference w:type="default" r:id="rId42"/>
          <w:headerReference w:type="first" r:id="rId43"/>
          <w:footerReference w:type="default" r:id="rId44"/>
          <w:footerReference w:type="first" r:id="rId45"/>
          <w:type w:val="nextPage"/>
          <w:pgSz w:w="11906" w:h="16838"/>
          <w:pgMar w:left="1701" w:right="850" w:gutter="0" w:header="0" w:top="1134" w:footer="0" w:bottom="1134"/>
          <w:pgNumType w:fmt="decimal"/>
          <w:formProt w:val="false"/>
          <w:titlePg/>
          <w:textDirection w:val="lrTb"/>
          <w:docGrid w:type="default" w:linePitch="100" w:charSpace="0"/>
        </w:sectPr>
      </w:pP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color w:val="000000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  <w:t>2. Показатели комплекса процессных мероприятий</w:t>
      </w:r>
    </w:p>
    <w:tbl>
      <w:tblPr>
        <w:tblW w:w="1452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HBand="0" w:noVBand="1" w:firstColumn="1" w:lastRow="0" w:lastColumn="0" w:firstRow="1"/>
      </w:tblPr>
      <w:tblGrid>
        <w:gridCol w:w="566"/>
        <w:gridCol w:w="2898"/>
        <w:gridCol w:w="842"/>
        <w:gridCol w:w="973"/>
        <w:gridCol w:w="900"/>
        <w:gridCol w:w="915"/>
        <w:gridCol w:w="1022"/>
        <w:gridCol w:w="793"/>
        <w:gridCol w:w="842"/>
        <w:gridCol w:w="735"/>
        <w:gridCol w:w="749"/>
        <w:gridCol w:w="922"/>
        <w:gridCol w:w="2362"/>
      </w:tblGrid>
      <w:tr>
        <w:trPr>
          <w:trHeight w:val="350" w:hRule="atLeast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0" w:right="0"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N п/п</w:t>
            </w:r>
          </w:p>
        </w:tc>
        <w:tc>
          <w:tcPr>
            <w:tcW w:w="28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0" w:right="0"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Наименование показателя/задачи</w:t>
            </w:r>
          </w:p>
        </w:tc>
        <w:tc>
          <w:tcPr>
            <w:tcW w:w="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0" w:right="0"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Приз-нак возрас-тания/</w:t>
            </w:r>
          </w:p>
          <w:p>
            <w:pPr>
              <w:pStyle w:val="ConsPlusNormal1"/>
              <w:widowControl w:val="false"/>
              <w:ind w:left="0" w:right="0"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убыва-ния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0" w:right="0"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Уровень показателя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0" w:right="0" w:hanging="0"/>
              <w:jc w:val="center"/>
              <w:rPr/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Едини-ца измере-ния (по </w:t>
            </w:r>
            <w:hyperlink r:id="rId46">
              <w:r>
                <w:rPr>
                  <w:rFonts w:ascii="PT Astra Serif" w:hAnsi="PT Astra Serif"/>
                  <w:color w:val="000000"/>
                  <w:sz w:val="22"/>
                  <w:szCs w:val="22"/>
                  <w:shd w:fill="auto" w:val="clear"/>
                </w:rPr>
                <w:t>ОКЕИ</w:t>
              </w:r>
            </w:hyperlink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)</w:t>
            </w:r>
          </w:p>
        </w:tc>
        <w:tc>
          <w:tcPr>
            <w:tcW w:w="1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0" w:right="0"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Базовое значение</w:t>
            </w:r>
          </w:p>
        </w:tc>
        <w:tc>
          <w:tcPr>
            <w:tcW w:w="40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0" w:right="0"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Значение показателей по годам</w:t>
            </w:r>
          </w:p>
        </w:tc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0" w:right="0"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  <w:lang w:eastAsia="zh-CN"/>
              </w:rPr>
              <w:t>Ответственный за</w:t>
            </w:r>
            <w:r>
              <w:rPr>
                <w:rFonts w:ascii="PT Astra Serif" w:hAnsi="PT Astra Serif"/>
                <w:color w:val="000000"/>
                <w:spacing w:val="-37"/>
                <w:sz w:val="22"/>
                <w:szCs w:val="22"/>
                <w:shd w:fill="auto" w:val="clear"/>
                <w:lang w:eastAsia="zh-CN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  <w:lang w:eastAsia="zh-CN"/>
              </w:rPr>
              <w:t>достижение</w:t>
            </w:r>
            <w:r>
              <w:rPr>
                <w:rFonts w:ascii="PT Astra Serif" w:hAnsi="PT Astra Serif"/>
                <w:color w:val="000000"/>
                <w:spacing w:val="1"/>
                <w:sz w:val="22"/>
                <w:szCs w:val="22"/>
                <w:shd w:fill="auto" w:val="clear"/>
                <w:lang w:eastAsia="zh-CN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  <w:lang w:eastAsia="zh-CN"/>
              </w:rPr>
              <w:t>показателя (участник муниципальной программы)</w:t>
            </w:r>
          </w:p>
        </w:tc>
      </w:tr>
      <w:tr>
        <w:trPr/>
        <w:tc>
          <w:tcPr>
            <w:tcW w:w="5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0" w:right="0" w:hanging="0"/>
              <w:rPr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28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0" w:right="0" w:hanging="0"/>
              <w:rPr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8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0" w:right="0" w:hanging="0"/>
              <w:rPr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97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0" w:right="0" w:hanging="0"/>
              <w:rPr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9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0" w:right="0" w:hanging="0"/>
              <w:rPr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0" w:right="0"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значе-ние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0" w:right="0"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год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0" w:right="0"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2026г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0" w:right="0"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2027г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0" w:right="0"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2028г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0" w:right="0"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2029г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0" w:right="0"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2030г</w:t>
            </w:r>
          </w:p>
        </w:tc>
        <w:tc>
          <w:tcPr>
            <w:tcW w:w="23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0" w:right="0" w:hanging="0"/>
              <w:rPr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>
          <w:trHeight w:val="318" w:hRule="atLeast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0" w:right="0" w:hanging="0"/>
              <w:rPr>
                <w:rFonts w:ascii="PT Astra Serif" w:hAnsi="PT Astra Serif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1395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0" w:right="0"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Задача 1. </w:t>
            </w:r>
            <w:bookmarkStart w:id="158" w:name="__DdeLink__9655_4288371289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Обеспечено эффективное управление муниципальным долгом Анжеро-Судженского городского округа</w:t>
            </w:r>
            <w:bookmarkEnd w:id="158"/>
          </w:p>
        </w:tc>
      </w:tr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0" w:right="0"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0" w:right="0"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Отношение расходов на обслуживание муниципаль-ного долга Анжеро-Судженского городского округа по данным отчета об исполнении  бюджета муниципального образова-ния «Анжеро-Судженский городской округа Кемеровс-кой области — Кузбасса» за отчетный финансовый год к объему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Федерации, </w:t>
            </w:r>
            <w:r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shd w:fill="auto" w:val="clear"/>
              </w:rPr>
              <w:t>УМД3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0" w:right="0"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убыва-ние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0" w:right="0"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МП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0" w:right="0"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процент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0" w:right="0"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0,003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0" w:right="0"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2024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0" w:right="0"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0" w:right="0"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0" w:right="0"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0" w:right="0"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0" w:right="0"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0" w:right="0"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Финансовое управле-ние администрации Анжеро-Судженского городского округа</w:t>
            </w:r>
          </w:p>
        </w:tc>
      </w:tr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Доля просроченной задолженности по долговым обязательствам  Анжеро-Судженского городского округа, </w:t>
            </w:r>
            <w:r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shd w:fill="auto" w:val="clear"/>
              </w:rPr>
              <w:t>УМД2</w:t>
            </w:r>
          </w:p>
          <w:p>
            <w:pPr>
              <w:pStyle w:val="Normal"/>
              <w:widowControl w:val="false"/>
              <w:rPr>
                <w:rFonts w:ascii="PT Astra Serif" w:hAnsi="PT Astra Serif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убыва-ние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МП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процент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2024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0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0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Финансовое управле-ние администрации Анжеро-Судженского городского округа</w:t>
            </w:r>
          </w:p>
        </w:tc>
      </w:tr>
    </w:tbl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color w:val="000000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  <w:t>3. План достижения показателей комплекса процессных</w:t>
      </w:r>
    </w:p>
    <w:p>
      <w:pPr>
        <w:pStyle w:val="ConsPlusTitle"/>
        <w:jc w:val="center"/>
        <w:rPr>
          <w:color w:val="000000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  <w:t>мероприятий в 2026 году</w:t>
      </w:r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tbl>
      <w:tblPr>
        <w:tblW w:w="14685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HBand="0" w:noVBand="1" w:firstColumn="1" w:lastRow="0" w:lastColumn="0" w:firstRow="1"/>
      </w:tblPr>
      <w:tblGrid>
        <w:gridCol w:w="562"/>
        <w:gridCol w:w="2156"/>
        <w:gridCol w:w="966"/>
        <w:gridCol w:w="966"/>
        <w:gridCol w:w="831"/>
        <w:gridCol w:w="1050"/>
        <w:gridCol w:w="710"/>
        <w:gridCol w:w="857"/>
        <w:gridCol w:w="582"/>
        <w:gridCol w:w="741"/>
        <w:gridCol w:w="729"/>
        <w:gridCol w:w="856"/>
        <w:gridCol w:w="1073"/>
        <w:gridCol w:w="995"/>
        <w:gridCol w:w="856"/>
        <w:gridCol w:w="751"/>
      </w:tblGrid>
      <w:tr>
        <w:trPr/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N п/п</w:t>
            </w:r>
          </w:p>
        </w:tc>
        <w:tc>
          <w:tcPr>
            <w:tcW w:w="21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Показатели комплекса процессных мероприятий</w:t>
            </w:r>
          </w:p>
        </w:tc>
        <w:tc>
          <w:tcPr>
            <w:tcW w:w="9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Уровень показателя</w:t>
            </w:r>
          </w:p>
        </w:tc>
        <w:tc>
          <w:tcPr>
            <w:tcW w:w="9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/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Единица измере-ния (по </w:t>
            </w:r>
            <w:hyperlink r:id="rId47">
              <w:r>
                <w:rPr>
                  <w:rFonts w:ascii="PT Astra Serif" w:hAnsi="PT Astra Serif"/>
                  <w:color w:val="000000"/>
                  <w:sz w:val="22"/>
                  <w:szCs w:val="22"/>
                  <w:shd w:fill="auto" w:val="clear"/>
                </w:rPr>
                <w:t>ОКЕИ</w:t>
              </w:r>
            </w:hyperlink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)</w:t>
            </w:r>
          </w:p>
        </w:tc>
        <w:tc>
          <w:tcPr>
            <w:tcW w:w="92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Плановые значения по месяцам</w:t>
            </w:r>
          </w:p>
        </w:tc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На конец 2026 года</w:t>
            </w:r>
          </w:p>
        </w:tc>
      </w:tr>
      <w:tr>
        <w:trPr/>
        <w:tc>
          <w:tcPr>
            <w:tcW w:w="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215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9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9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январь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февраль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март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апрель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май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июнь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июль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август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сентябрь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октябрь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ноябрь</w:t>
            </w:r>
          </w:p>
        </w:tc>
        <w:tc>
          <w:tcPr>
            <w:tcW w:w="7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PT Astra Serif" w:hAnsi="PT Astra Serif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1411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Задача 1. Обеспечено эффективное управление муниципальным долгом Анжеро-Судженского городского округа</w:t>
            </w:r>
          </w:p>
        </w:tc>
      </w:tr>
      <w:tr>
        <w:trPr/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bookmarkStart w:id="159" w:name="__DdeLink__15597_3763259542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Отношение расходов на обслуживание муниципального долга Анжеро-Судженского городского округа по данным отчета об исполнении бюджета муниципального образования «Анжеро-Судженский городской округа Кемеровской области — Кузбасса»  за отчетный финансовый год к объему расходов бюджета муниципального образования «Анжеро-Судженский городской округа Кемеровской области — Кузбасса»,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  <w:bookmarkEnd w:id="159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, </w:t>
            </w:r>
            <w:r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shd w:fill="auto" w:val="clear"/>
              </w:rPr>
              <w:t>УМД3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КПМ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процент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</w:t>
            </w:r>
          </w:p>
        </w:tc>
      </w:tr>
      <w:tr>
        <w:trPr/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Доля просроченной задолженности по долговым обязательствам  Анжеро-Судженского городского округа, </w:t>
            </w:r>
            <w:r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shd w:fill="auto" w:val="clear"/>
              </w:rPr>
              <w:t>УМД2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КПМ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процент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0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0</w:t>
            </w:r>
          </w:p>
        </w:tc>
      </w:tr>
    </w:tbl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color w:val="000000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  <w:t>4. Перечень мероприятий (результатов) комплекса процессных</w:t>
      </w:r>
    </w:p>
    <w:p>
      <w:pPr>
        <w:pStyle w:val="ConsPlusTitle"/>
        <w:jc w:val="center"/>
        <w:rPr>
          <w:color w:val="000000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  <w:t>мероприятий</w:t>
      </w:r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tbl>
      <w:tblPr>
        <w:tblW w:w="14685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HBand="0" w:noVBand="1" w:firstColumn="1" w:lastRow="0" w:lastColumn="0" w:firstRow="1"/>
      </w:tblPr>
      <w:tblGrid>
        <w:gridCol w:w="581"/>
        <w:gridCol w:w="2163"/>
        <w:gridCol w:w="1109"/>
        <w:gridCol w:w="3502"/>
        <w:gridCol w:w="1006"/>
        <w:gridCol w:w="928"/>
        <w:gridCol w:w="940"/>
        <w:gridCol w:w="865"/>
        <w:gridCol w:w="943"/>
        <w:gridCol w:w="1050"/>
        <w:gridCol w:w="822"/>
        <w:gridCol w:w="775"/>
      </w:tblGrid>
      <w:tr>
        <w:trPr/>
        <w:tc>
          <w:tcPr>
            <w:tcW w:w="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N п/п</w:t>
            </w:r>
          </w:p>
        </w:tc>
        <w:tc>
          <w:tcPr>
            <w:tcW w:w="21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Наименование мероприятия (результата)</w:t>
            </w:r>
          </w:p>
        </w:tc>
        <w:tc>
          <w:tcPr>
            <w:tcW w:w="11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Тип мероприятий (результа-та)</w:t>
            </w:r>
          </w:p>
        </w:tc>
        <w:tc>
          <w:tcPr>
            <w:tcW w:w="35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Характеристика</w:t>
            </w:r>
          </w:p>
        </w:tc>
        <w:tc>
          <w:tcPr>
            <w:tcW w:w="10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/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Единица измере-ния (по </w:t>
            </w:r>
            <w:hyperlink r:id="rId48">
              <w:r>
                <w:rPr>
                  <w:rFonts w:ascii="PT Astra Serif" w:hAnsi="PT Astra Serif"/>
                  <w:color w:val="000000"/>
                  <w:sz w:val="22"/>
                  <w:szCs w:val="22"/>
                  <w:shd w:fill="auto" w:val="clear"/>
                </w:rPr>
                <w:t>ОКЕИ</w:t>
              </w:r>
            </w:hyperlink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)</w:t>
            </w:r>
          </w:p>
        </w:tc>
        <w:tc>
          <w:tcPr>
            <w:tcW w:w="1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Базовое значение</w:t>
            </w:r>
          </w:p>
        </w:tc>
        <w:tc>
          <w:tcPr>
            <w:tcW w:w="4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Значения мероприятия (результата) по годам</w:t>
            </w:r>
          </w:p>
        </w:tc>
      </w:tr>
      <w:tr>
        <w:trPr/>
        <w:tc>
          <w:tcPr>
            <w:tcW w:w="58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21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11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35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100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значе-ние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год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2026г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2027г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2028г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2029г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2030г</w:t>
            </w:r>
          </w:p>
        </w:tc>
      </w:tr>
      <w:tr>
        <w:trPr/>
        <w:tc>
          <w:tcPr>
            <w:tcW w:w="146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Задача 1. Обеспечено эффективное управление муниципальным долгом Анжеро-Судженского городского округа</w:t>
            </w:r>
          </w:p>
        </w:tc>
      </w:tr>
      <w:tr>
        <w:trPr/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1.1.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Выделено финансовое обеспечение для исполнения </w:t>
            </w:r>
            <w:bookmarkStart w:id="160" w:name="__DdeLink__5436_1823475484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обязательств по обслуживанию муниципального долга Анжеро-Судженского городского округа</w:t>
            </w:r>
            <w:bookmarkEnd w:id="160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 в соответствии с реальной потребностью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иные мероприятия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Обеспечение полного и своевременного исполнения обязательств по обслуживанию муниципального долга Анжеро-Судженского городского округа </w:t>
            </w:r>
            <w:bookmarkStart w:id="161" w:name="__DdeLink__5429_1823475484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в соответствии с заключенными контрактами (договорами), недопущение образования просроченной задолженности</w:t>
            </w:r>
            <w:bookmarkEnd w:id="161"/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процент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2024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100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100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>-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>-</w:t>
            </w:r>
          </w:p>
        </w:tc>
      </w:tr>
      <w:tr>
        <w:trPr/>
        <w:tc>
          <w:tcPr>
            <w:tcW w:w="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color w:val="000000"/>
                <w:sz w:val="16"/>
                <w:szCs w:val="16"/>
                <w:shd w:fill="auto" w:val="clear"/>
              </w:rPr>
              <w:t>1.1.1.</w:t>
            </w:r>
          </w:p>
        </w:tc>
        <w:tc>
          <w:tcPr>
            <w:tcW w:w="14103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В соответствии с заключенными контрактами (договорами) оплата обязательств по обслуживанию муниципального долга Анжеро-Судженского городского округа  и долговых обязательств производится заблаговременно в целях недопущение образования задолженности.</w:t>
            </w:r>
          </w:p>
        </w:tc>
      </w:tr>
      <w:tr>
        <w:trPr/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1.2.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>Мониторинг долго-вой устойчивости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иные мероприятия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eastAsia="Calibri" w:ascii="PT Astra Serif" w:hAnsi="PT Astra Serif"/>
                <w:bCs/>
                <w:color w:val="000000"/>
                <w:sz w:val="22"/>
                <w:szCs w:val="22"/>
                <w:shd w:fill="auto" w:val="clear"/>
                <w:lang w:eastAsia="en-US"/>
              </w:rPr>
              <w:t xml:space="preserve">Расчет долговой устойчивости муниципального образования «Анжеро-Судженский городской округ Кемеровской области - Кузбасса» </w:t>
            </w:r>
            <w:bookmarkStart w:id="162" w:name="__DdeLink__5445_1823475484"/>
            <w:r>
              <w:rPr>
                <w:rFonts w:eastAsia="Calibri" w:ascii="PT Astra Serif" w:hAnsi="PT Astra Serif"/>
                <w:bCs/>
                <w:color w:val="000000"/>
                <w:sz w:val="22"/>
                <w:szCs w:val="22"/>
                <w:shd w:fill="auto" w:val="clear"/>
                <w:lang w:eastAsia="en-US"/>
              </w:rPr>
              <w:t>по факту исполнения бюджета за отчетный финансовый год и по плану на 1 августа на текущий финансовый год</w:t>
            </w:r>
            <w:bookmarkEnd w:id="162"/>
            <w:r>
              <w:rPr>
                <w:rFonts w:eastAsia="Calibri" w:ascii="PT Astra Serif" w:hAnsi="PT Astra Serif"/>
                <w:bCs/>
                <w:color w:val="000000"/>
                <w:sz w:val="22"/>
                <w:szCs w:val="22"/>
                <w:shd w:fill="auto" w:val="clear"/>
                <w:lang w:eastAsia="en-US"/>
              </w:rPr>
              <w:t xml:space="preserve"> </w:t>
            </w:r>
            <w:bookmarkStart w:id="163" w:name="__DdeLink__5443_1823475484"/>
            <w:r>
              <w:rPr>
                <w:rFonts w:eastAsia="Calibri" w:ascii="PT Astra Serif" w:hAnsi="PT Astra Serif"/>
                <w:bCs/>
                <w:color w:val="000000"/>
                <w:sz w:val="22"/>
                <w:szCs w:val="22"/>
                <w:shd w:fill="auto" w:val="clear"/>
                <w:lang w:eastAsia="en-US"/>
              </w:rPr>
              <w:t>в соответствии с постановлением Правительства Кемеровской области - Кузбасса от 27.11.2020 № 697 «Об утверждении Порядка оценки долговой устойчивости муниципальных образований Кемеровской области - Кузбасса»</w:t>
            </w:r>
            <w:bookmarkEnd w:id="163"/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единица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2024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-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-</w:t>
            </w:r>
          </w:p>
        </w:tc>
      </w:tr>
      <w:tr>
        <w:trPr/>
        <w:tc>
          <w:tcPr>
            <w:tcW w:w="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color w:val="000000"/>
                <w:sz w:val="16"/>
                <w:szCs w:val="16"/>
                <w:shd w:fill="auto" w:val="clear"/>
              </w:rPr>
              <w:t>1.2.1.</w:t>
            </w:r>
          </w:p>
        </w:tc>
        <w:tc>
          <w:tcPr>
            <w:tcW w:w="14103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eastAsia="Calibri" w:ascii="PT Astra Serif" w:hAnsi="PT Astra Serif"/>
                <w:bCs/>
                <w:color w:val="000000"/>
                <w:sz w:val="22"/>
                <w:szCs w:val="22"/>
                <w:shd w:fill="auto" w:val="clear"/>
                <w:lang w:eastAsia="en-US"/>
              </w:rPr>
              <w:t>В соответствии с постановлением Правительства Кемеровской области - Кузбасса от 27.11.2020 № 697 «Об утверждении Порядка оценки долговой устойчивости муниципальных образований Кемеровской области — Кузбасса» для определения долговой устойчивости на текущий финансовый год, в Министерство финансов Кузбасса представляется информация по установленным показателям, по факту исполнения бюджета за отчетный финансовый год и по плану на 1 августа текущего финансового года.</w:t>
            </w:r>
          </w:p>
        </w:tc>
      </w:tr>
    </w:tbl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color w:val="000000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  <w:t>5. Финансовое обеспечение комплекса процессных мероприятий</w:t>
      </w:r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tbl>
      <w:tblPr>
        <w:tblW w:w="1452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HBand="0" w:noVBand="1" w:firstColumn="1" w:lastRow="0" w:lastColumn="0" w:firstRow="1"/>
      </w:tblPr>
      <w:tblGrid>
        <w:gridCol w:w="7200"/>
        <w:gridCol w:w="1140"/>
        <w:gridCol w:w="1080"/>
        <w:gridCol w:w="1018"/>
        <w:gridCol w:w="967"/>
        <w:gridCol w:w="964"/>
        <w:gridCol w:w="2150"/>
      </w:tblGrid>
      <w:tr>
        <w:trPr/>
        <w:tc>
          <w:tcPr>
            <w:tcW w:w="7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1"/>
              <w:widowControl w:val="false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73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Объем финансового обеспечения по годам реализации, тыс. рублей</w:t>
            </w:r>
          </w:p>
        </w:tc>
      </w:tr>
      <w:tr>
        <w:trPr/>
        <w:tc>
          <w:tcPr>
            <w:tcW w:w="72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2026г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2027г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2028г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2029г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2030г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Всего</w:t>
            </w:r>
          </w:p>
        </w:tc>
      </w:tr>
      <w:tr>
        <w:trPr/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Комплекс процессных мероприятий «Управление муниципальным долгом» (всего),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60,1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60,1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60,1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0,0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0,0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180,3</w:t>
            </w:r>
          </w:p>
        </w:tc>
      </w:tr>
      <w:tr>
        <w:trPr/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местный бюджет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60,1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60,1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60,1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0,0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0,0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right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180,3</w:t>
            </w:r>
          </w:p>
        </w:tc>
      </w:tr>
    </w:tbl>
    <w:p>
      <w:pPr>
        <w:sectPr>
          <w:headerReference w:type="default" r:id="rId49"/>
          <w:headerReference w:type="first" r:id="rId50"/>
          <w:footerReference w:type="default" r:id="rId51"/>
          <w:footerReference w:type="first" r:id="rId52"/>
          <w:type w:val="nextPage"/>
          <w:pgSz w:orient="landscape" w:w="16838" w:h="11906"/>
          <w:pgMar w:left="1134" w:right="1134" w:gutter="0" w:header="0" w:top="1701" w:footer="0" w:bottom="85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2"/>
        <w:rPr>
          <w:color w:val="000000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  <w:t>6. План реализации комплекса процессных мероприятий</w:t>
      </w:r>
    </w:p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tbl>
      <w:tblPr>
        <w:tblW w:w="9014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HBand="0" w:noVBand="1" w:firstColumn="1" w:lastRow="0" w:lastColumn="0" w:firstRow="1"/>
      </w:tblPr>
      <w:tblGrid>
        <w:gridCol w:w="3629"/>
        <w:gridCol w:w="1361"/>
        <w:gridCol w:w="2378"/>
        <w:gridCol w:w="1645"/>
      </w:tblGrid>
      <w:tr>
        <w:trPr/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Задача, мероприятие (результат) / контрольная точка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Дата наступления контрольной точки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  <w:lang w:eastAsia="zh-CN"/>
              </w:rPr>
              <w:t>Ответственный исполнитель</w:t>
            </w:r>
            <w:r>
              <w:rPr>
                <w:rFonts w:ascii="PT Astra Serif" w:hAnsi="PT Astra Serif"/>
                <w:color w:val="000000"/>
                <w:spacing w:val="1"/>
                <w:sz w:val="22"/>
                <w:szCs w:val="22"/>
                <w:shd w:fill="auto" w:val="clear"/>
                <w:lang w:eastAsia="zh-CN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  <w:lang w:eastAsia="zh-CN"/>
              </w:rPr>
              <w:t>(Ф.И.О, должность, наименование</w:t>
            </w:r>
            <w:r>
              <w:rPr>
                <w:rFonts w:ascii="PT Astra Serif" w:hAnsi="PT Astra Serif"/>
                <w:color w:val="000000"/>
                <w:spacing w:val="-6"/>
                <w:sz w:val="22"/>
                <w:szCs w:val="22"/>
                <w:shd w:fill="auto" w:val="clear"/>
                <w:lang w:eastAsia="zh-CN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  <w:lang w:eastAsia="zh-CN"/>
              </w:rPr>
              <w:t>организации (участник муниципальной программы)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Вид подтверждаю-щего документа</w:t>
            </w:r>
          </w:p>
        </w:tc>
      </w:tr>
      <w:tr>
        <w:trPr/>
        <w:tc>
          <w:tcPr>
            <w:tcW w:w="90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Задача 1. Обеспечено эффективное управление муниципальным долгом Анжеро-Судженского городского округа</w:t>
            </w:r>
          </w:p>
        </w:tc>
      </w:tr>
      <w:tr>
        <w:trPr/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Мероприятие (результат) 1 «Выделено финансовое обеспечение для исполнения обязательств по обслуживанию муниципального долга Анжеро-Судженского городского округа в соответствии с реальной потребностью»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X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PT Astra Serif" w:hAnsi="PT Astra Serif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PT Astra Serif" w:hAnsi="PT Astra Serif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Контрольная точка 1.1 </w:t>
            </w:r>
          </w:p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Выполнены обязательства по заключенным договорам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31 декабря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Зачиняева Елена Николаевна, начальник финансового управле-ния администрации Анжеро-Судженского городского округа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Заявка на кассовый расход</w:t>
            </w:r>
          </w:p>
        </w:tc>
      </w:tr>
      <w:tr>
        <w:trPr/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Мероприятие (результат) 2 «</w:t>
            </w:r>
            <w:r>
              <w:rPr>
                <w:rFonts w:eastAsia="Calibri" w:ascii="PT Astra Serif" w:hAnsi="PT Astra Serif"/>
                <w:color w:val="000000"/>
                <w:sz w:val="22"/>
                <w:szCs w:val="22"/>
                <w:shd w:fill="auto" w:val="clear"/>
              </w:rPr>
              <w:t>Мониторинг долговой устойчивости»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X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both"/>
              <w:rPr>
                <w:rFonts w:ascii="PT Astra Serif" w:hAnsi="PT Astra Serif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both"/>
              <w:rPr>
                <w:rFonts w:ascii="PT Astra Serif" w:hAnsi="PT Astra Serif"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/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 xml:space="preserve">Контрольная точка 2.1 </w:t>
            </w:r>
          </w:p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«</w:t>
            </w:r>
            <w:bookmarkStart w:id="164" w:name="__DdeLink__9728_3830895128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Отнесение муниципального образования к группам долговой устойчивости Кемеровской области - Кузбасса</w:t>
            </w:r>
            <w:bookmarkEnd w:id="164"/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»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15 августа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Зачиняева Елена Николаевна, начальник финансового управле-ния администрации Анжеро-Судженского городского округа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both"/>
              <w:rPr>
                <w:color w:val="000000"/>
                <w:highlight w:val="none"/>
                <w:shd w:fill="auto" w:val="clear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shd w:fill="auto" w:val="clear"/>
              </w:rPr>
              <w:t>В целях проведения оценки долговой устойчивости муниципальных образований Министерство финансов Кузбасса использует данные решений о бюджетах муниципальных образований (в редакции, действующей по состоянию на 1 августа текущего финансового года), фактические данные о муниципальном долге муниципальных образований, информацию об исполнении бюджетов муниципальных образований, представляемые финансовыми органами муниципальных образований в Министерство финансов Кузбасса ежегодно до 15 августа текущего финансового года</w:t>
            </w:r>
          </w:p>
        </w:tc>
      </w:tr>
    </w:tbl>
    <w:p>
      <w:pPr>
        <w:pStyle w:val="ConsPlusNormal1"/>
        <w:jc w:val="both"/>
        <w:rPr>
          <w:rFonts w:ascii="PT Astra Serif" w:hAnsi="PT Astra Serif"/>
          <w:color w:val="000000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color w:val="000000"/>
          <w:sz w:val="28"/>
          <w:szCs w:val="28"/>
          <w:shd w:fill="auto" w:val="clear"/>
        </w:rPr>
      </w:r>
    </w:p>
    <w:p>
      <w:pPr>
        <w:pStyle w:val="ConsPlusNormal1"/>
        <w:jc w:val="both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Normal1"/>
        <w:jc w:val="both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Normal1"/>
        <w:jc w:val="both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Normal1"/>
        <w:jc w:val="both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Normal1"/>
        <w:jc w:val="both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Normal1"/>
        <w:jc w:val="both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Normal1"/>
        <w:jc w:val="both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Normal1"/>
        <w:jc w:val="both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Normal1"/>
        <w:jc w:val="both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Normal1"/>
        <w:jc w:val="both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Normal1"/>
        <w:jc w:val="both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Normal1"/>
        <w:jc w:val="both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Normal1"/>
        <w:jc w:val="both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Normal1"/>
        <w:jc w:val="both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Normal1"/>
        <w:jc w:val="both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Normal1"/>
        <w:jc w:val="both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Normal1"/>
        <w:jc w:val="both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Normal1"/>
        <w:jc w:val="both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Normal1"/>
        <w:jc w:val="both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Normal1"/>
        <w:jc w:val="both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Normal1"/>
        <w:jc w:val="both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Normal1"/>
        <w:jc w:val="both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Normal1"/>
        <w:jc w:val="both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Normal1"/>
        <w:jc w:val="both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Normal1"/>
        <w:jc w:val="both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Normal1"/>
        <w:jc w:val="both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Normal1"/>
        <w:jc w:val="both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Normal1"/>
        <w:jc w:val="both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Normal1"/>
        <w:jc w:val="both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Normal1"/>
        <w:jc w:val="both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Normal1"/>
        <w:jc w:val="both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Normal1"/>
        <w:jc w:val="both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Normal1"/>
        <w:jc w:val="both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Normal1"/>
        <w:jc w:val="both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ConsPlusNormal1"/>
        <w:numPr>
          <w:ilvl w:val="0"/>
          <w:numId w:val="0"/>
        </w:numPr>
        <w:ind w:left="0" w:hanging="0"/>
        <w:jc w:val="right"/>
        <w:outlineLvl w:val="1"/>
        <w:rPr>
          <w:rFonts w:ascii="Times New Roman" w:hAnsi="Times New Roman"/>
        </w:rPr>
      </w:pPr>
      <w:bookmarkStart w:id="165" w:name="__DdeLink__5535_857802040_Копия_3"/>
      <w:r>
        <w:rPr>
          <w:rFonts w:ascii="Times New Roman" w:hAnsi="Times New Roman"/>
          <w:color w:val="000000"/>
          <w:sz w:val="28"/>
          <w:szCs w:val="28"/>
          <w:shd w:fill="auto" w:val="clear"/>
        </w:rPr>
        <w:t xml:space="preserve">Приложение </w:t>
      </w:r>
      <w:r>
        <w:rPr>
          <w:rFonts w:ascii="Times New Roman" w:hAnsi="Times New Roman"/>
          <w:color w:val="000000"/>
          <w:sz w:val="28"/>
          <w:szCs w:val="28"/>
          <w:u w:val="none"/>
          <w:shd w:fill="auto" w:val="clear"/>
        </w:rPr>
        <w:t>5</w:t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к муниципальной программе «Управление муниципальными</w:t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финансами Анжеро-Судженского городского округа»,</w:t>
      </w:r>
    </w:p>
    <w:p>
      <w:pPr>
        <w:pStyle w:val="14"/>
        <w:shd w:val="clear" w:color="auto" w:fill="auto"/>
        <w:spacing w:lineRule="auto" w:line="240" w:before="0" w:after="0"/>
        <w:ind w:hanging="0"/>
        <w:jc w:val="right"/>
        <w:rPr>
          <w:rFonts w:ascii="Times New Roman" w:hAnsi="Times New Roman"/>
        </w:rPr>
      </w:pPr>
      <w:r>
        <w:rPr>
          <w:color w:val="000000"/>
          <w:shd w:fill="auto" w:val="clear"/>
        </w:rPr>
        <w:t xml:space="preserve">утвержденной постановлением администрации </w:t>
      </w:r>
    </w:p>
    <w:p>
      <w:pPr>
        <w:pStyle w:val="14"/>
        <w:shd w:val="clear" w:color="auto" w:fill="auto"/>
        <w:spacing w:lineRule="auto" w:line="240" w:before="0" w:after="0"/>
        <w:ind w:left="4253" w:hanging="0"/>
        <w:jc w:val="right"/>
        <w:rPr>
          <w:rFonts w:ascii="Times New Roman" w:hAnsi="Times New Roman"/>
        </w:rPr>
      </w:pPr>
      <w:r>
        <w:rPr>
          <w:color w:val="000000"/>
          <w:shd w:fill="auto" w:val="clear"/>
        </w:rPr>
        <w:t xml:space="preserve"> </w:t>
      </w:r>
      <w:r>
        <w:rPr>
          <w:color w:val="000000"/>
          <w:shd w:fill="auto" w:val="clear"/>
        </w:rPr>
        <w:t xml:space="preserve">Анжеро-Судженского городского округа </w:t>
      </w:r>
      <w:bookmarkEnd w:id="165"/>
    </w:p>
    <w:p>
      <w:pPr>
        <w:pStyle w:val="14"/>
        <w:shd w:val="clear" w:color="auto" w:fill="auto"/>
        <w:spacing w:lineRule="auto" w:line="240" w:before="0" w:after="0"/>
        <w:ind w:left="4536" w:hanging="0"/>
        <w:jc w:val="right"/>
        <w:rPr>
          <w:rFonts w:ascii="Times New Roman" w:hAnsi="Times New Roman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от _________________   № ________ </w:t>
      </w:r>
    </w:p>
    <w:p>
      <w:pPr>
        <w:pStyle w:val="ConsPlusNormal1"/>
        <w:jc w:val="both"/>
        <w:rPr>
          <w:rFonts w:ascii="Times New Roman" w:hAnsi="Times New Roman"/>
          <w:color w:val="auto"/>
          <w:highlight w:val="none"/>
          <w:shd w:fill="auto" w:val="clear"/>
        </w:rPr>
      </w:pPr>
      <w:r>
        <w:rPr>
          <w:rFonts w:ascii="Times New Roman" w:hAnsi="Times New Roman"/>
          <w:color w:val="000000"/>
          <w:shd w:fill="auto" w:val="clear"/>
        </w:rPr>
      </w:r>
    </w:p>
    <w:p>
      <w:pPr>
        <w:pStyle w:val="Normal"/>
        <w:numPr>
          <w:ilvl w:val="0"/>
          <w:numId w:val="0"/>
        </w:numPr>
        <w:ind w:left="0" w:firstLine="709"/>
        <w:jc w:val="center"/>
        <w:outlineLvl w:val="0"/>
        <w:rPr>
          <w:color w:val="auto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Normal"/>
        <w:numPr>
          <w:ilvl w:val="0"/>
          <w:numId w:val="0"/>
        </w:numPr>
        <w:ind w:left="0" w:firstLine="709"/>
        <w:jc w:val="center"/>
        <w:outlineLvl w:val="0"/>
        <w:rPr>
          <w:color w:val="auto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NoSpacing"/>
        <w:jc w:val="center"/>
        <w:rPr>
          <w:color w:val="auto"/>
        </w:rPr>
      </w:pPr>
      <w:r>
        <w:rPr>
          <w:rFonts w:ascii="Times New Roman" w:hAnsi="Times New Roman"/>
          <w:color w:val="auto"/>
          <w:sz w:val="28"/>
        </w:rPr>
        <w:t xml:space="preserve">Методика </w:t>
      </w:r>
    </w:p>
    <w:p>
      <w:pPr>
        <w:pStyle w:val="NoSpacing"/>
        <w:jc w:val="center"/>
        <w:rPr>
          <w:color w:val="auto"/>
        </w:rPr>
      </w:pPr>
      <w:r>
        <w:rPr>
          <w:rFonts w:ascii="Times New Roman" w:hAnsi="Times New Roman"/>
          <w:color w:val="auto"/>
          <w:sz w:val="28"/>
        </w:rPr>
        <w:t>расчета показателей муниципальной программы</w:t>
      </w:r>
    </w:p>
    <w:p>
      <w:pPr>
        <w:pStyle w:val="NoSpacing"/>
        <w:jc w:val="center"/>
        <w:rPr>
          <w:color w:val="auto"/>
        </w:rPr>
      </w:pPr>
      <w:r>
        <w:rPr>
          <w:rFonts w:ascii="Times New Roman" w:hAnsi="Times New Roman"/>
          <w:color w:val="auto"/>
          <w:sz w:val="28"/>
        </w:rPr>
        <w:t xml:space="preserve">«Управление муниципальными финансами </w:t>
      </w:r>
    </w:p>
    <w:p>
      <w:pPr>
        <w:pStyle w:val="NoSpacing"/>
        <w:jc w:val="center"/>
        <w:rPr>
          <w:color w:val="auto"/>
        </w:rPr>
      </w:pPr>
      <w:bookmarkStart w:id="166" w:name="__DdeLink__9801_3429019520"/>
      <w:r>
        <w:rPr>
          <w:rFonts w:ascii="Times New Roman" w:hAnsi="Times New Roman"/>
          <w:color w:val="auto"/>
          <w:sz w:val="28"/>
        </w:rPr>
        <w:t>Анжеро-Судженского городского округа»</w:t>
      </w:r>
      <w:bookmarkEnd w:id="166"/>
    </w:p>
    <w:p>
      <w:pPr>
        <w:pStyle w:val="NoSpacing"/>
        <w:tabs>
          <w:tab w:val="clear" w:pos="708"/>
          <w:tab w:val="left" w:pos="851" w:leader="none"/>
        </w:tabs>
        <w:jc w:val="center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</w:r>
    </w:p>
    <w:p>
      <w:pPr>
        <w:pStyle w:val="NoSpacing"/>
        <w:tabs>
          <w:tab w:val="clear" w:pos="708"/>
          <w:tab w:val="left" w:pos="851" w:leader="none"/>
        </w:tabs>
        <w:jc w:val="center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</w:r>
    </w:p>
    <w:p>
      <w:pPr>
        <w:pStyle w:val="NoSpacing"/>
        <w:tabs>
          <w:tab w:val="clear" w:pos="708"/>
          <w:tab w:val="left" w:pos="709" w:leader="none"/>
          <w:tab w:val="left" w:pos="851" w:leader="none"/>
          <w:tab w:val="left" w:pos="1134" w:leader="none"/>
        </w:tabs>
        <w:ind w:firstLine="709"/>
        <w:jc w:val="both"/>
        <w:rPr>
          <w:color w:val="auto"/>
        </w:rPr>
      </w:pPr>
      <w:r>
        <w:rPr>
          <w:rFonts w:ascii="Times New Roman" w:hAnsi="Times New Roman"/>
          <w:color w:val="auto"/>
          <w:sz w:val="28"/>
        </w:rPr>
        <w:t xml:space="preserve">Настоящая методика расчета показателей муниципальной программы </w:t>
      </w:r>
      <w:bookmarkStart w:id="167" w:name="__DdeLink__9798_3429019520_Копия_1"/>
      <w:bookmarkEnd w:id="167"/>
      <w:r>
        <w:rPr>
          <w:rFonts w:ascii="Times New Roman" w:hAnsi="Times New Roman"/>
          <w:color w:val="auto"/>
          <w:sz w:val="28"/>
        </w:rPr>
        <w:t xml:space="preserve">«Управление муниципальными финансами </w:t>
      </w:r>
      <w:bookmarkStart w:id="168" w:name="__DdeLink__17218_1690009897"/>
      <w:r>
        <w:rPr>
          <w:rFonts w:ascii="Times New Roman" w:hAnsi="Times New Roman"/>
          <w:color w:val="auto"/>
          <w:sz w:val="28"/>
        </w:rPr>
        <w:t>Анжеро-Судженского городского округа</w:t>
      </w:r>
      <w:bookmarkEnd w:id="168"/>
      <w:r>
        <w:rPr>
          <w:rFonts w:ascii="Times New Roman" w:hAnsi="Times New Roman"/>
          <w:color w:val="auto"/>
          <w:sz w:val="28"/>
        </w:rPr>
        <w:t>» устанавливает показатели муниципальной программы и ее структурных элементов.</w:t>
      </w:r>
    </w:p>
    <w:p>
      <w:pPr>
        <w:pStyle w:val="NoSpacing"/>
        <w:ind w:firstLine="567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</w:r>
    </w:p>
    <w:p>
      <w:pPr>
        <w:pStyle w:val="NoSpacing"/>
        <w:numPr>
          <w:ilvl w:val="0"/>
          <w:numId w:val="2"/>
        </w:numPr>
        <w:ind w:left="993" w:hanging="284"/>
        <w:jc w:val="both"/>
        <w:rPr>
          <w:color w:val="auto"/>
        </w:rPr>
      </w:pPr>
      <w:r>
        <w:rPr>
          <w:rFonts w:ascii="Times New Roman" w:hAnsi="Times New Roman"/>
          <w:color w:val="auto"/>
          <w:sz w:val="28"/>
        </w:rPr>
        <w:t>1. Показатели муниципальной программы:</w:t>
      </w:r>
    </w:p>
    <w:p>
      <w:pPr>
        <w:pStyle w:val="NoSpacing"/>
        <w:tabs>
          <w:tab w:val="clear" w:pos="708"/>
          <w:tab w:val="left" w:pos="426" w:leader="none"/>
          <w:tab w:val="left" w:pos="709" w:leader="none"/>
          <w:tab w:val="left" w:pos="851" w:leader="none"/>
          <w:tab w:val="left" w:pos="1276" w:leader="none"/>
        </w:tabs>
        <w:jc w:val="both"/>
        <w:rPr>
          <w:color w:val="auto"/>
        </w:rPr>
      </w:pPr>
      <w:r>
        <w:rPr>
          <w:rFonts w:ascii="Times New Roman" w:hAnsi="Times New Roman"/>
          <w:color w:val="auto"/>
          <w:sz w:val="28"/>
        </w:rPr>
        <w:tab/>
        <w:tab/>
      </w:r>
    </w:p>
    <w:p>
      <w:pPr>
        <w:pStyle w:val="NoSpacing"/>
        <w:tabs>
          <w:tab w:val="clear" w:pos="708"/>
          <w:tab w:val="left" w:pos="426" w:leader="none"/>
          <w:tab w:val="left" w:pos="709" w:leader="none"/>
          <w:tab w:val="left" w:pos="851" w:leader="none"/>
          <w:tab w:val="left" w:pos="1276" w:leader="none"/>
        </w:tabs>
        <w:jc w:val="both"/>
        <w:rPr>
          <w:color w:val="auto"/>
        </w:rPr>
      </w:pPr>
      <w:r>
        <w:rPr>
          <w:rFonts w:ascii="Times New Roman" w:hAnsi="Times New Roman"/>
          <w:color w:val="auto"/>
          <w:sz w:val="28"/>
        </w:rPr>
        <w:tab/>
        <w:tab/>
        <w:t xml:space="preserve">1.1. </w:t>
      </w:r>
      <w:bookmarkStart w:id="169" w:name="__DdeLink__9742_3830895128"/>
      <w:r>
        <w:rPr>
          <w:rFonts w:ascii="Times New Roman" w:hAnsi="Times New Roman"/>
          <w:color w:val="auto"/>
          <w:sz w:val="28"/>
        </w:rPr>
        <w:t>Отношение дефицита местного бюджета (с учетом установленных законодательством Российской Федерации исключений) к доходам без учета объема безвозмездных поступлений (ОС1)</w:t>
      </w:r>
      <w:bookmarkEnd w:id="169"/>
      <w:r>
        <w:rPr>
          <w:rFonts w:ascii="Times New Roman" w:hAnsi="Times New Roman"/>
          <w:color w:val="auto"/>
          <w:sz w:val="28"/>
        </w:rPr>
        <w:t xml:space="preserve">. </w:t>
      </w:r>
    </w:p>
    <w:p>
      <w:pPr>
        <w:pStyle w:val="NoSpacing"/>
        <w:tabs>
          <w:tab w:val="clear" w:pos="708"/>
          <w:tab w:val="left" w:pos="426" w:leader="none"/>
          <w:tab w:val="left" w:pos="709" w:leader="none"/>
          <w:tab w:val="left" w:pos="851" w:leader="none"/>
        </w:tabs>
        <w:ind w:firstLine="709"/>
        <w:jc w:val="both"/>
        <w:rPr>
          <w:color w:val="auto"/>
        </w:rPr>
      </w:pPr>
      <w:r>
        <w:rPr>
          <w:rFonts w:ascii="Times New Roman" w:hAnsi="Times New Roman"/>
          <w:color w:val="auto"/>
          <w:sz w:val="28"/>
        </w:rPr>
        <w:t>Определяется в процентах и рассчитывается по формуле:</w:t>
      </w:r>
    </w:p>
    <w:p>
      <w:pPr>
        <w:pStyle w:val="NoSpacing"/>
        <w:tabs>
          <w:tab w:val="clear" w:pos="708"/>
          <w:tab w:val="left" w:pos="426" w:leader="none"/>
          <w:tab w:val="left" w:pos="709" w:leader="none"/>
          <w:tab w:val="left" w:pos="851" w:leader="none"/>
        </w:tabs>
        <w:ind w:firstLine="709"/>
        <w:jc w:val="both"/>
        <w:rPr>
          <w:color w:val="auto"/>
        </w:rPr>
      </w:pPr>
      <w:r>
        <w:rPr>
          <w:color w:val="auto"/>
        </w:rPr>
      </w:r>
    </w:p>
    <w:p>
      <w:pPr>
        <w:pStyle w:val="Normal"/>
        <w:jc w:val="center"/>
        <w:rPr>
          <w:color w:val="auto"/>
        </w:rPr>
      </w:pPr>
      <w:r>
        <w:rPr>
          <w:color w:val="auto"/>
          <w:sz w:val="28"/>
        </w:rPr>
        <w:t>ОС1 =</w:t>
      </w:r>
      <w:r>
        <w:rPr/>
      </w:r>
      <m:oMath xmlns:m="http://schemas.openxmlformats.org/officeDocument/2006/math">
        <m:f>
          <m:num>
            <m:r>
              <w:rPr>
                <w:rFonts w:ascii="Cambria Math" w:hAnsi="Cambria Math"/>
              </w:rPr>
              <m:t xml:space="preserve">ДЕФ</m:t>
            </m:r>
            <m:r>
              <w:rPr>
                <w:rFonts w:ascii="Cambria Math" w:hAnsi="Cambria Math"/>
              </w:rPr>
              <m:t xml:space="preserve">−</m:t>
            </m:r>
            <m:r>
              <w:rPr>
                <w:rFonts w:ascii="Cambria Math" w:hAnsi="Cambria Math"/>
              </w:rPr>
              <m:t xml:space="preserve">Дп</m:t>
            </m:r>
            <m:r>
              <w:rPr>
                <w:rFonts w:ascii="Cambria Math" w:hAnsi="Cambria Math"/>
              </w:rPr>
              <m:t xml:space="preserve">−</m:t>
            </m:r>
            <m:r>
              <w:rPr>
                <w:rFonts w:ascii="Cambria Math" w:hAnsi="Cambria Math"/>
              </w:rPr>
              <m:t xml:space="preserve">БАпр</m:t>
            </m:r>
          </m:num>
          <m:den>
            <m:r>
              <w:rPr>
                <w:rFonts w:ascii="Cambria Math" w:hAnsi="Cambria Math"/>
              </w:rPr>
              <m:t xml:space="preserve">Д</m:t>
            </m:r>
            <m:r>
              <w:rPr>
                <w:rFonts w:ascii="Cambria Math" w:hAnsi="Cambria Math"/>
              </w:rPr>
              <m:t xml:space="preserve">−</m:t>
            </m:r>
            <m:r>
              <w:rPr>
                <w:rFonts w:ascii="Cambria Math" w:hAnsi="Cambria Math"/>
              </w:rPr>
              <m:t xml:space="preserve">БВП</m:t>
            </m:r>
          </m:den>
        </m:f>
      </m:oMath>
      <w:r>
        <w:rPr>
          <w:color w:val="auto"/>
          <w:sz w:val="28"/>
        </w:rPr>
        <w:t xml:space="preserve"> </w:t>
      </w: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×</m:t>
        </m:r>
      </m:oMath>
      <w:r>
        <w:rPr>
          <w:color w:val="auto"/>
          <w:sz w:val="28"/>
        </w:rPr>
        <w:t>100, где:</w:t>
      </w:r>
    </w:p>
    <w:p>
      <w:pPr>
        <w:pStyle w:val="Normal"/>
        <w:jc w:val="both"/>
        <w:rPr>
          <w:color w:val="auto"/>
          <w:sz w:val="28"/>
        </w:rPr>
      </w:pPr>
      <w:r>
        <w:rPr>
          <w:color w:val="auto"/>
          <w:sz w:val="28"/>
        </w:rPr>
      </w:r>
    </w:p>
    <w:p>
      <w:pPr>
        <w:pStyle w:val="Normal"/>
        <w:ind w:hanging="0"/>
        <w:jc w:val="both"/>
        <w:rPr>
          <w:color w:val="auto"/>
        </w:rPr>
      </w:pPr>
      <w:r>
        <w:rPr>
          <w:color w:val="auto"/>
          <w:sz w:val="28"/>
        </w:rPr>
        <w:t>ДЕФ – размер дефицита местного бюджета, тыс. рублей;</w:t>
      </w:r>
    </w:p>
    <w:p>
      <w:pPr>
        <w:pStyle w:val="Normal"/>
        <w:ind w:hanging="0"/>
        <w:jc w:val="both"/>
        <w:rPr>
          <w:color w:val="auto"/>
        </w:rPr>
      </w:pPr>
      <w:r>
        <w:rPr>
          <w:color w:val="auto"/>
          <w:sz w:val="28"/>
        </w:rPr>
        <w:t>Д – общий объем доходов местного бюджета, тыс. рублей;</w:t>
      </w:r>
    </w:p>
    <w:p>
      <w:pPr>
        <w:pStyle w:val="Normal"/>
        <w:ind w:hanging="0"/>
        <w:jc w:val="both"/>
        <w:rPr>
          <w:color w:val="auto"/>
        </w:rPr>
      </w:pPr>
      <w:r>
        <w:rPr>
          <w:color w:val="auto"/>
          <w:sz w:val="28"/>
        </w:rPr>
        <w:t>БВП – объем безвозмездных поступлений в местной бюджет, тыс. рублей;</w:t>
      </w:r>
    </w:p>
    <w:p>
      <w:pPr>
        <w:pStyle w:val="Normal"/>
        <w:ind w:hanging="0"/>
        <w:jc w:val="both"/>
        <w:rPr>
          <w:color w:val="auto"/>
        </w:rPr>
      </w:pPr>
      <w:r>
        <w:rPr>
          <w:color w:val="auto"/>
          <w:sz w:val="28"/>
        </w:rPr>
        <w:t>Дп – дополнительные поступления, утвержденные решением о местном бюджете в составе источников финансирования дефицита местного бюджета:</w:t>
      </w:r>
    </w:p>
    <w:p>
      <w:pPr>
        <w:pStyle w:val="Normal"/>
        <w:ind w:firstLine="708"/>
        <w:jc w:val="both"/>
        <w:rPr>
          <w:color w:val="auto"/>
        </w:rPr>
      </w:pPr>
      <w:r>
        <w:rPr>
          <w:color w:val="auto"/>
          <w:sz w:val="28"/>
        </w:rPr>
        <w:t>а) от продажи акций и иных форм участия в капитале;</w:t>
      </w:r>
    </w:p>
    <w:p>
      <w:pPr>
        <w:pStyle w:val="Normal"/>
        <w:ind w:firstLine="708"/>
        <w:jc w:val="both"/>
        <w:rPr>
          <w:color w:val="auto"/>
        </w:rPr>
      </w:pPr>
      <w:r>
        <w:rPr>
          <w:color w:val="auto"/>
          <w:sz w:val="28"/>
        </w:rPr>
        <w:t>б) в сумме снижения остатков средств на счетах по учету средств местного бюджета, тыс. рублей;</w:t>
      </w:r>
    </w:p>
    <w:p>
      <w:pPr>
        <w:pStyle w:val="Normal"/>
        <w:ind w:firstLine="708"/>
        <w:jc w:val="both"/>
        <w:rPr>
          <w:color w:val="auto"/>
        </w:rPr>
      </w:pPr>
      <w:r>
        <w:rPr>
          <w:color w:val="auto"/>
          <w:sz w:val="28"/>
        </w:rPr>
        <w:t>в) в пределах положительной разницы между средствами, получаемыми от возврата средств с банковских депозитов, и средствами, размещаемыми на банковских депозитах, тыс. рублей;</w:t>
      </w:r>
    </w:p>
    <w:p>
      <w:pPr>
        <w:pStyle w:val="Normal"/>
        <w:ind w:firstLine="708"/>
        <w:jc w:val="both"/>
        <w:rPr>
          <w:color w:val="auto"/>
        </w:rPr>
      </w:pPr>
      <w:r>
        <w:rPr>
          <w:color w:val="auto"/>
          <w:sz w:val="28"/>
        </w:rPr>
        <w:t>г) в объеме бюджетных ассигнований, направленных на финансовое обеспечение реализации инфраструктурных проектов, источником финансового обеспечения которых являются бюджетные кредиты, предоставляемые из бюджетов других уровней на финансовое обеспечение реализации инфраструктурных проектов</w:t>
      </w:r>
      <w:bookmarkStart w:id="170" w:name="__DdeLink__5763_4288371289"/>
      <w:r>
        <w:rPr>
          <w:color w:val="auto"/>
          <w:sz w:val="28"/>
        </w:rPr>
        <w:t>, тыс. рублей;</w:t>
      </w:r>
      <w:bookmarkEnd w:id="170"/>
    </w:p>
    <w:p>
      <w:pPr>
        <w:pStyle w:val="Normal"/>
        <w:tabs>
          <w:tab w:val="clear" w:pos="708"/>
          <w:tab w:val="left" w:pos="851" w:leader="none"/>
        </w:tabs>
        <w:ind w:hanging="0"/>
        <w:jc w:val="both"/>
        <w:rPr>
          <w:color w:val="auto"/>
        </w:rPr>
      </w:pPr>
      <w:r>
        <w:rPr>
          <w:color w:val="auto"/>
          <w:sz w:val="28"/>
        </w:rPr>
        <w:t>БАпр – бюджетные ассигнования, направленные на цели, позволяющие превысить ограничения по дефициту в соответствии с действующим законодательством Российской Федерации, тыс. рублей.</w:t>
      </w:r>
    </w:p>
    <w:p>
      <w:pPr>
        <w:pStyle w:val="NoSpacing"/>
        <w:ind w:firstLine="708"/>
        <w:rPr>
          <w:color w:val="auto"/>
        </w:rPr>
      </w:pPr>
      <w:r>
        <w:rPr>
          <w:rFonts w:ascii="Times New Roman" w:hAnsi="Times New Roman"/>
          <w:color w:val="auto"/>
          <w:sz w:val="28"/>
        </w:rPr>
        <w:t>Источниками данных является отчет об исполнении местного бюджета за отчетный период.</w:t>
      </w:r>
    </w:p>
    <w:p>
      <w:pPr>
        <w:pStyle w:val="Normal"/>
        <w:ind w:firstLine="708"/>
        <w:jc w:val="both"/>
        <w:rPr>
          <w:color w:val="auto"/>
        </w:rPr>
      </w:pPr>
      <w:r>
        <w:rPr>
          <w:color w:val="auto"/>
        </w:rPr>
      </w:r>
    </w:p>
    <w:p>
      <w:pPr>
        <w:pStyle w:val="Normal"/>
        <w:ind w:firstLine="708"/>
        <w:jc w:val="both"/>
        <w:rPr>
          <w:color w:val="auto"/>
        </w:rPr>
      </w:pPr>
      <w:r>
        <w:rPr>
          <w:rFonts w:eastAsia="Calibri"/>
          <w:color w:val="auto"/>
          <w:sz w:val="28"/>
          <w:szCs w:val="28"/>
        </w:rPr>
        <w:t>1.2. Отсутствие нарушений бюджетного законодательства и применения мер принуждения за его нарушение (ОС-4).</w:t>
      </w:r>
    </w:p>
    <w:p>
      <w:pPr>
        <w:pStyle w:val="Normal"/>
        <w:ind w:firstLine="708"/>
        <w:jc w:val="both"/>
        <w:rPr>
          <w:color w:val="auto"/>
        </w:rPr>
      </w:pPr>
      <w:r>
        <w:rPr>
          <w:rFonts w:eastAsia="Calibri"/>
          <w:color w:val="auto"/>
          <w:sz w:val="28"/>
          <w:szCs w:val="28"/>
        </w:rPr>
        <w:t>Отсутствие нарушений и применения мер принуждения за нарушения бюджетного законодательства оценивается:  да - 100%; нет - 0%.</w:t>
      </w:r>
    </w:p>
    <w:p>
      <w:pPr>
        <w:pStyle w:val="Normal"/>
        <w:ind w:firstLine="708"/>
        <w:jc w:val="both"/>
        <w:rPr>
          <w:color w:val="auto"/>
        </w:rPr>
      </w:pPr>
      <w:bookmarkStart w:id="171" w:name="__DdeLink__13688_4140419480"/>
      <w:r>
        <w:rPr>
          <w:rFonts w:eastAsia="Calibri"/>
          <w:color w:val="auto"/>
          <w:sz w:val="28"/>
          <w:szCs w:val="28"/>
        </w:rPr>
        <w:t>Источником данных для формирования значений показателя является наличие мер принуждения за нарушение бюджетного законодательства.</w:t>
      </w:r>
      <w:bookmarkEnd w:id="171"/>
    </w:p>
    <w:p>
      <w:pPr>
        <w:pStyle w:val="NoSpacing"/>
        <w:tabs>
          <w:tab w:val="clear" w:pos="708"/>
          <w:tab w:val="left" w:pos="1276" w:leader="none"/>
        </w:tabs>
        <w:ind w:firstLine="709"/>
        <w:jc w:val="both"/>
        <w:rPr>
          <w:rFonts w:ascii="PT Astra Serif" w:hAnsi="PT Astra Serif"/>
          <w:color w:val="auto"/>
        </w:rPr>
      </w:pPr>
      <w:r>
        <w:rPr>
          <w:rFonts w:ascii="PT Astra Serif" w:hAnsi="PT Astra Serif"/>
          <w:color w:val="auto"/>
        </w:rPr>
      </w:r>
    </w:p>
    <w:p>
      <w:pPr>
        <w:pStyle w:val="NoSpacing"/>
        <w:tabs>
          <w:tab w:val="clear" w:pos="708"/>
          <w:tab w:val="left" w:pos="1276" w:leader="none"/>
        </w:tabs>
        <w:ind w:firstLine="709"/>
        <w:jc w:val="both"/>
        <w:rPr>
          <w:color w:val="auto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1.3. Отношение муниципального долга Анжеро-Судженского городского округа (далее - АСГО) по отношению к общему годовому объему доходов местного бюджета без учета объема безвозмездных поступлений </w:t>
      </w:r>
      <w:r>
        <w:rPr>
          <w:rFonts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auto"/>
          <w:sz w:val="28"/>
          <w:szCs w:val="28"/>
          <w:u w:val="none"/>
          <w:em w:val="none"/>
        </w:rPr>
        <w:t>(УМД1)</w:t>
      </w:r>
      <w:r>
        <w:rPr>
          <w:rFonts w:ascii="Times New Roman" w:hAnsi="Times New Roman"/>
          <w:color w:val="auto"/>
          <w:sz w:val="28"/>
          <w:szCs w:val="28"/>
        </w:rPr>
        <w:t>, (с учетом установленных законодательством Российской Федерации исключений).</w:t>
      </w:r>
    </w:p>
    <w:p>
      <w:pPr>
        <w:pStyle w:val="NoSpacing"/>
        <w:tabs>
          <w:tab w:val="clear" w:pos="708"/>
          <w:tab w:val="left" w:pos="1276" w:leader="none"/>
        </w:tabs>
        <w:ind w:firstLine="709"/>
        <w:jc w:val="both"/>
        <w:rPr>
          <w:color w:val="auto"/>
        </w:rPr>
      </w:pPr>
      <w:r>
        <w:rPr>
          <w:rFonts w:ascii="Times New Roman" w:hAnsi="Times New Roman"/>
          <w:color w:val="auto"/>
          <w:sz w:val="28"/>
          <w:szCs w:val="28"/>
        </w:rPr>
        <w:t>Определяется в процентах и рассчитывается по формуле:</w:t>
      </w:r>
    </w:p>
    <w:p>
      <w:pPr>
        <w:pStyle w:val="ListParagraph"/>
        <w:spacing w:before="0" w:after="0"/>
        <w:ind w:left="0" w:hanging="0"/>
        <w:jc w:val="both"/>
        <w:rPr>
          <w:rFonts w:ascii="PT Astra Serif" w:hAnsi="PT Astra Serif"/>
          <w:color w:val="auto"/>
          <w:sz w:val="28"/>
          <w:szCs w:val="28"/>
        </w:rPr>
      </w:pPr>
      <w:r>
        <w:rPr>
          <w:rFonts w:ascii="PT Astra Serif" w:hAnsi="PT Astra Serif"/>
          <w:color w:val="auto"/>
          <w:sz w:val="28"/>
          <w:szCs w:val="28"/>
        </w:rPr>
      </w:r>
    </w:p>
    <w:p>
      <w:pPr>
        <w:pStyle w:val="Normal"/>
        <w:widowControl w:val="false"/>
        <w:jc w:val="center"/>
        <w:rPr>
          <w:color w:val="auto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УМД</m:t>
        </m:r>
        <m:r>
          <w:rPr>
            <w:rFonts w:ascii="Cambria Math" w:hAnsi="Cambria Math"/>
          </w:rPr>
          <m:t xml:space="preserve">1</m:t>
        </m:r>
        <m:r>
          <w:rPr>
            <w:rFonts w:ascii="Cambria Math" w:hAnsi="Cambria Math"/>
          </w:rPr>
          <m:t xml:space="preserve">=</m:t>
        </m:r>
        <m:f>
          <m:num>
            <m:r>
              <w:rPr>
                <w:rFonts w:ascii="Cambria Math" w:hAnsi="Cambria Math"/>
              </w:rPr>
              <m:t xml:space="preserve">МД</m:t>
            </m:r>
          </m:num>
          <m:den>
            <m:r>
              <w:rPr>
                <w:rFonts w:ascii="Cambria Math" w:hAnsi="Cambria Math"/>
              </w:rPr>
              <m:t xml:space="preserve">Д</m:t>
            </m:r>
            <m:r>
              <w:rPr>
                <w:rFonts w:ascii="Cambria Math" w:hAnsi="Cambria Math"/>
              </w:rPr>
              <m:t xml:space="preserve">−</m:t>
            </m:r>
            <m:r>
              <w:rPr>
                <w:rFonts w:ascii="Cambria Math" w:hAnsi="Cambria Math"/>
              </w:rPr>
              <m:t xml:space="preserve">БВП</m:t>
            </m:r>
            <m:r>
              <w:rPr>
                <w:rFonts w:ascii="Cambria Math" w:hAnsi="Cambria Math"/>
              </w:rPr>
              <m:t xml:space="preserve">−</m:t>
            </m:r>
            <m:r>
              <w:rPr>
                <w:rFonts w:ascii="Cambria Math" w:hAnsi="Cambria Math"/>
              </w:rPr>
              <m:t xml:space="preserve">ДН</m:t>
            </m:r>
          </m:den>
        </m:f>
        <m:r>
          <w:rPr>
            <w:rFonts w:ascii="Cambria Math" w:hAnsi="Cambria Math"/>
          </w:rPr>
          <m:t xml:space="preserve">х</m:t>
        </m:r>
        <m:r>
          <w:rPr>
            <w:rFonts w:ascii="Cambria Math" w:hAnsi="Cambria Math"/>
          </w:rPr>
          <m:t xml:space="preserve">100</m:t>
        </m:r>
      </m:oMath>
      <w:r>
        <w:rPr>
          <w:rFonts w:ascii="PT Astra Serif" w:hAnsi="PT Astra Serif"/>
          <w:color w:val="auto"/>
          <w:sz w:val="28"/>
          <w:szCs w:val="28"/>
        </w:rPr>
        <w:t xml:space="preserve">, </w:t>
      </w:r>
      <w:r>
        <w:rPr>
          <w:rFonts w:eastAsia="Calibri" w:ascii="PT Astra Serif" w:hAnsi="PT Astra Serif"/>
          <w:color w:val="auto"/>
          <w:sz w:val="28"/>
          <w:szCs w:val="28"/>
        </w:rPr>
        <w:t>где:</w:t>
      </w:r>
    </w:p>
    <w:p>
      <w:pPr>
        <w:pStyle w:val="ListParagraph"/>
        <w:widowControl w:val="false"/>
        <w:spacing w:beforeAutospacing="0" w:before="0" w:afterAutospacing="0" w:after="0"/>
        <w:ind w:right="33" w:hanging="0"/>
        <w:contextualSpacing/>
        <w:rPr>
          <w:rFonts w:eastAsia="Calibri"/>
          <w:iCs/>
          <w:color w:val="auto"/>
        </w:rPr>
      </w:pPr>
      <w:r>
        <w:rPr>
          <w:rFonts w:eastAsia="Calibri"/>
          <w:iCs/>
          <w:color w:val="auto"/>
        </w:rPr>
      </w:r>
    </w:p>
    <w:p>
      <w:pPr>
        <w:pStyle w:val="ListParagraph"/>
        <w:widowControl w:val="false"/>
        <w:spacing w:beforeAutospacing="0" w:before="0" w:afterAutospacing="0" w:after="0"/>
        <w:ind w:right="33" w:hanging="0"/>
        <w:contextualSpacing/>
        <w:rPr>
          <w:color w:val="auto"/>
        </w:rPr>
      </w:pPr>
      <w:r>
        <w:rPr>
          <w:rFonts w:eastAsia="Calibri"/>
          <w:iCs/>
          <w:color w:val="auto"/>
          <w:sz w:val="28"/>
          <w:szCs w:val="28"/>
        </w:rPr>
        <w:t>МД</w:t>
      </w:r>
      <w:r>
        <w:rPr>
          <w:rFonts w:eastAsia="Calibri"/>
          <w:color w:val="auto"/>
          <w:sz w:val="28"/>
          <w:szCs w:val="28"/>
        </w:rPr>
        <w:t>– размер муниципального долга АСГО, тыс. рублей;</w:t>
      </w:r>
    </w:p>
    <w:p>
      <w:pPr>
        <w:pStyle w:val="ListParagraph"/>
        <w:widowControl w:val="false"/>
        <w:spacing w:beforeAutospacing="0" w:before="0" w:afterAutospacing="0" w:after="0"/>
        <w:ind w:right="33" w:hanging="0"/>
        <w:contextualSpacing/>
        <w:rPr>
          <w:color w:val="auto"/>
        </w:rPr>
      </w:pPr>
      <w:r>
        <w:rPr>
          <w:rFonts w:eastAsia="Calibri"/>
          <w:iCs/>
          <w:color w:val="auto"/>
          <w:sz w:val="28"/>
          <w:szCs w:val="28"/>
        </w:rPr>
        <w:t>Д</w:t>
      </w:r>
      <w:r>
        <w:rPr>
          <w:rFonts w:eastAsia="Calibri"/>
          <w:color w:val="auto"/>
          <w:sz w:val="28"/>
          <w:szCs w:val="28"/>
        </w:rPr>
        <w:t xml:space="preserve"> – общий объем доходов местного бюджета, тыс. рублей;</w:t>
      </w:r>
    </w:p>
    <w:p>
      <w:pPr>
        <w:pStyle w:val="ListParagraph"/>
        <w:widowControl w:val="false"/>
        <w:spacing w:beforeAutospacing="0" w:before="0" w:afterAutospacing="0" w:after="0"/>
        <w:ind w:right="33" w:hanging="0"/>
        <w:contextualSpacing/>
        <w:rPr>
          <w:color w:val="auto"/>
        </w:rPr>
      </w:pPr>
      <w:r>
        <w:rPr>
          <w:rFonts w:eastAsia="Calibri"/>
          <w:iCs/>
          <w:color w:val="auto"/>
          <w:sz w:val="28"/>
          <w:szCs w:val="28"/>
        </w:rPr>
        <w:t>БВП</w:t>
      </w:r>
      <w:r>
        <w:rPr>
          <w:rFonts w:eastAsia="Calibri"/>
          <w:color w:val="auto"/>
          <w:sz w:val="28"/>
          <w:szCs w:val="28"/>
        </w:rPr>
        <w:t xml:space="preserve"> – объем безвозмездных поступлений в местный  бюджет,</w:t>
      </w:r>
      <w:r>
        <w:rPr>
          <w:color w:val="auto"/>
          <w:sz w:val="28"/>
          <w:szCs w:val="28"/>
        </w:rPr>
        <w:t xml:space="preserve"> тыс. рублей;</w:t>
      </w:r>
    </w:p>
    <w:p>
      <w:pPr>
        <w:pStyle w:val="ListParagraph"/>
        <w:widowControl w:val="false"/>
        <w:spacing w:beforeAutospacing="0" w:before="0" w:afterAutospacing="0" w:after="0"/>
        <w:ind w:right="33" w:hanging="0"/>
        <w:contextualSpacing/>
        <w:jc w:val="both"/>
        <w:rPr>
          <w:color w:val="auto"/>
        </w:rPr>
      </w:pPr>
      <w:r>
        <w:rPr>
          <w:color w:val="auto"/>
          <w:sz w:val="28"/>
          <w:szCs w:val="28"/>
        </w:rPr>
        <w:t xml:space="preserve">ДН -  </w:t>
      </w:r>
      <w:r>
        <w:rPr>
          <w:rFonts w:cs="Times New Roman"/>
          <w:color w:val="auto"/>
          <w:sz w:val="28"/>
          <w:szCs w:val="28"/>
        </w:rPr>
        <w:t>поступления налоговых доходов по дополнительным нормативам отчислений, тыс. рублей.</w:t>
      </w:r>
    </w:p>
    <w:p>
      <w:pPr>
        <w:pStyle w:val="Normal"/>
        <w:ind w:hanging="0"/>
        <w:jc w:val="both"/>
        <w:rPr>
          <w:color w:val="auto"/>
        </w:rPr>
      </w:pPr>
      <w:r>
        <w:rPr>
          <w:color w:val="auto"/>
          <w:sz w:val="28"/>
          <w:szCs w:val="28"/>
        </w:rPr>
        <w:tab/>
        <w:t xml:space="preserve">Источниками данных является отчет об исполнении местного бюджета </w:t>
      </w:r>
      <w:bookmarkStart w:id="172" w:name="_Hlk177723001"/>
      <w:r>
        <w:rPr>
          <w:color w:val="auto"/>
          <w:sz w:val="28"/>
          <w:szCs w:val="28"/>
        </w:rPr>
        <w:t xml:space="preserve">за отчетный период </w:t>
      </w:r>
      <w:bookmarkEnd w:id="172"/>
      <w:r>
        <w:rPr>
          <w:color w:val="auto"/>
          <w:sz w:val="28"/>
          <w:szCs w:val="28"/>
        </w:rPr>
        <w:t>и муниципальная долговая книга АСГО.</w:t>
      </w:r>
    </w:p>
    <w:p>
      <w:pPr>
        <w:pStyle w:val="Normal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</w:p>
    <w:p>
      <w:pPr>
        <w:pStyle w:val="Normal"/>
        <w:ind w:firstLine="708"/>
        <w:jc w:val="both"/>
        <w:rPr>
          <w:color w:val="auto"/>
        </w:rPr>
      </w:pPr>
      <w:r>
        <w:rPr>
          <w:color w:val="auto"/>
          <w:sz w:val="28"/>
          <w:szCs w:val="28"/>
        </w:rPr>
        <w:t>2. Показатели комплекса процессных мероприятий «Обеспечение сбалансированности, устойчивости бюджетной системы и создание условий для повышения эффективности расходов АСГО» муниципальной программы:</w:t>
      </w:r>
    </w:p>
    <w:p>
      <w:pPr>
        <w:pStyle w:val="Normal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</w:p>
    <w:p>
      <w:pPr>
        <w:pStyle w:val="NoSpacing"/>
        <w:tabs>
          <w:tab w:val="clear" w:pos="708"/>
          <w:tab w:val="left" w:pos="709" w:leader="none"/>
          <w:tab w:val="left" w:pos="1134" w:leader="none"/>
          <w:tab w:val="left" w:pos="1276" w:leader="none"/>
        </w:tabs>
        <w:ind w:left="142" w:firstLine="567"/>
        <w:jc w:val="both"/>
        <w:rPr>
          <w:color w:val="auto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2.1.  Доля налоговых и неналоговых доходов местного бюджета (за исключением </w:t>
      </w:r>
      <w:bookmarkStart w:id="173" w:name="__DdeLink__11786_3763259542"/>
      <w:r>
        <w:rPr>
          <w:rFonts w:ascii="Times New Roman" w:hAnsi="Times New Roman"/>
          <w:color w:val="auto"/>
          <w:sz w:val="28"/>
          <w:szCs w:val="28"/>
        </w:rPr>
        <w:t>поступлений налоговых доходов по дополнительным нормативам отчислений</w:t>
      </w:r>
      <w:bookmarkEnd w:id="173"/>
      <w:r>
        <w:rPr>
          <w:rFonts w:ascii="Times New Roman" w:hAnsi="Times New Roman"/>
          <w:color w:val="auto"/>
          <w:sz w:val="28"/>
          <w:szCs w:val="28"/>
        </w:rPr>
        <w:t>) в общем объеме собственных доходов местного  бюджета  (без учета субвенций), (процентов) (Дннд).</w:t>
      </w:r>
    </w:p>
    <w:p>
      <w:pPr>
        <w:pStyle w:val="NoSpacing"/>
        <w:tabs>
          <w:tab w:val="clear" w:pos="708"/>
          <w:tab w:val="left" w:pos="709" w:leader="none"/>
          <w:tab w:val="left" w:pos="1134" w:leader="none"/>
          <w:tab w:val="left" w:pos="1276" w:leader="none"/>
        </w:tabs>
        <w:ind w:left="142" w:firstLine="567"/>
        <w:jc w:val="both"/>
        <w:rPr>
          <w:color w:val="auto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Определяется в процентах и рассчитывается по формуле: </w:t>
      </w:r>
    </w:p>
    <w:p>
      <w:pPr>
        <w:pStyle w:val="NoSpacing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</w:r>
    </w:p>
    <w:p>
      <w:pPr>
        <w:pStyle w:val="NoSpacing"/>
        <w:jc w:val="center"/>
        <w:rPr>
          <w:color w:val="auto"/>
        </w:rPr>
      </w:pPr>
      <w:r>
        <w:rPr>
          <w:rFonts w:ascii="Times New Roman" w:hAnsi="Times New Roman"/>
          <w:color w:val="auto"/>
          <w:sz w:val="28"/>
        </w:rPr>
        <w:t xml:space="preserve">Дннд = </w:t>
      </w:r>
      <w:r>
        <w:rPr/>
      </w:r>
      <m:oMath xmlns:m="http://schemas.openxmlformats.org/officeDocument/2006/math">
        <m:f>
          <m:num>
            <m:f>
              <m:fPr>
                <m:type m:val="lin"/>
              </m:fPr>
              <m:num>
                <m:r>
                  <w:rPr>
                    <w:rFonts w:ascii="Cambria Math" w:hAnsi="Cambria Math"/>
                  </w:rPr>
                  <m:t xml:space="preserve">ОДн</m:t>
                </m:r>
              </m:num>
              <m:den>
                <m:r>
                  <w:rPr>
                    <w:rFonts w:ascii="Cambria Math" w:hAnsi="Cambria Math"/>
                  </w:rPr>
                  <m:t xml:space="preserve">н</m:t>
                </m:r>
              </m:den>
            </m:f>
            <m:r>
              <w:rPr>
                <w:rFonts w:ascii="Cambria Math" w:hAnsi="Cambria Math"/>
              </w:rPr>
              <m:t xml:space="preserve">−</m:t>
            </m:r>
            <m:r>
              <w:rPr>
                <w:rFonts w:ascii="Cambria Math" w:hAnsi="Cambria Math"/>
              </w:rPr>
              <m:t xml:space="preserve">ОПдоп</m:t>
            </m:r>
            <m:r>
              <w:rPr>
                <w:rFonts w:ascii="Cambria Math" w:hAnsi="Cambria Math"/>
              </w:rPr>
              <m:t xml:space="preserve">.</m:t>
            </m:r>
            <m:r>
              <w:rPr>
                <w:rFonts w:ascii="Cambria Math" w:hAnsi="Cambria Math"/>
              </w:rPr>
              <m:t xml:space="preserve">н</m:t>
            </m:r>
          </m:num>
          <m:den>
            <m:r>
              <w:rPr>
                <w:rFonts w:ascii="Cambria Math" w:hAnsi="Cambria Math"/>
              </w:rPr>
              <m:t xml:space="preserve">Д</m:t>
            </m:r>
            <m:r>
              <w:rPr>
                <w:rFonts w:ascii="Cambria Math" w:hAnsi="Cambria Math"/>
              </w:rPr>
              <m:t xml:space="preserve">−</m:t>
            </m:r>
            <m:r>
              <w:rPr>
                <w:rFonts w:ascii="Cambria Math" w:hAnsi="Cambria Math"/>
              </w:rPr>
              <m:t xml:space="preserve">БВПсубв</m:t>
            </m:r>
          </m:den>
        </m:f>
      </m:oMath>
      <w:r>
        <w:rPr>
          <w:rFonts w:ascii="Times New Roman" w:hAnsi="Times New Roman"/>
          <w:color w:val="auto"/>
          <w:sz w:val="28"/>
        </w:rPr>
        <w:t xml:space="preserve"> </w:t>
      </w: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×</m:t>
        </m:r>
      </m:oMath>
      <w:r>
        <w:rPr>
          <w:rFonts w:ascii="Times New Roman" w:hAnsi="Times New Roman"/>
          <w:color w:val="auto"/>
          <w:sz w:val="28"/>
        </w:rPr>
        <w:t xml:space="preserve"> 100, где:</w:t>
      </w:r>
    </w:p>
    <w:p>
      <w:pPr>
        <w:pStyle w:val="NoSpacing"/>
        <w:jc w:val="both"/>
        <w:rPr>
          <w:rFonts w:ascii="Times New Roman" w:hAnsi="Times New Roman"/>
          <w:color w:val="auto"/>
          <w:sz w:val="28"/>
          <w:highlight w:val="yellow"/>
        </w:rPr>
      </w:pPr>
      <w:r>
        <w:rPr>
          <w:rFonts w:ascii="Times New Roman" w:hAnsi="Times New Roman"/>
          <w:color w:val="auto"/>
          <w:sz w:val="28"/>
          <w:highlight w:val="yellow"/>
        </w:rPr>
      </w:r>
    </w:p>
    <w:p>
      <w:pPr>
        <w:pStyle w:val="NoSpacing"/>
        <w:ind w:hanging="0"/>
        <w:jc w:val="both"/>
        <w:rPr>
          <w:color w:val="auto"/>
        </w:rPr>
      </w:pPr>
      <w:r>
        <w:rPr>
          <w:rFonts w:ascii="Times New Roman" w:hAnsi="Times New Roman"/>
          <w:color w:val="auto"/>
          <w:sz w:val="28"/>
        </w:rPr>
        <w:t>ОДн/н – объем налоговых и неналоговых доходов местного б</w:t>
      </w:r>
      <w:bookmarkStart w:id="174" w:name="__DdeLink__11788_3763259542"/>
      <w:r>
        <w:rPr>
          <w:rFonts w:ascii="Times New Roman" w:hAnsi="Times New Roman"/>
          <w:color w:val="auto"/>
          <w:sz w:val="28"/>
        </w:rPr>
        <w:t>юджета, тыс. рублей;</w:t>
      </w:r>
      <w:bookmarkEnd w:id="174"/>
    </w:p>
    <w:p>
      <w:pPr>
        <w:pStyle w:val="NoSpacing"/>
        <w:ind w:hanging="0"/>
        <w:jc w:val="both"/>
        <w:rPr>
          <w:color w:val="auto"/>
        </w:rPr>
      </w:pPr>
      <w:bookmarkStart w:id="175" w:name="__DdeLink__11790_3763259542"/>
      <w:r>
        <w:rPr>
          <w:rFonts w:ascii="Times New Roman" w:hAnsi="Times New Roman"/>
          <w:color w:val="auto"/>
          <w:sz w:val="28"/>
        </w:rPr>
        <w:t>ОПдоп.н</w:t>
      </w:r>
      <w:bookmarkEnd w:id="175"/>
      <w:r>
        <w:rPr>
          <w:rFonts w:ascii="Times New Roman" w:hAnsi="Times New Roman"/>
          <w:color w:val="auto"/>
          <w:sz w:val="28"/>
        </w:rPr>
        <w:t xml:space="preserve"> - объем поступлений налоговых доходов по дополнительным нормативам отчислений местного бюджета, тыс. рублей;</w:t>
      </w:r>
    </w:p>
    <w:p>
      <w:pPr>
        <w:pStyle w:val="Normal"/>
        <w:ind w:hanging="0"/>
        <w:jc w:val="both"/>
        <w:rPr>
          <w:color w:val="auto"/>
        </w:rPr>
      </w:pPr>
      <w:r>
        <w:rPr>
          <w:color w:val="auto"/>
          <w:sz w:val="28"/>
        </w:rPr>
        <w:t>Д – общий годовой объем доходов местного бюджета, тыс. рублей;</w:t>
      </w:r>
    </w:p>
    <w:p>
      <w:pPr>
        <w:pStyle w:val="Normal"/>
        <w:ind w:hanging="0"/>
        <w:jc w:val="both"/>
        <w:rPr>
          <w:color w:val="auto"/>
        </w:rPr>
      </w:pPr>
      <w:r>
        <w:rPr>
          <w:color w:val="auto"/>
          <w:sz w:val="28"/>
        </w:rPr>
        <w:t>БВПсубв – объем безвозмездных поступлений (субвенций) в местный бюджет, тыс. рублей.</w:t>
      </w:r>
    </w:p>
    <w:p>
      <w:pPr>
        <w:pStyle w:val="Normal"/>
        <w:tabs>
          <w:tab w:val="clear" w:pos="708"/>
          <w:tab w:val="left" w:pos="1134" w:leader="none"/>
        </w:tabs>
        <w:ind w:firstLine="708"/>
        <w:jc w:val="both"/>
        <w:rPr>
          <w:color w:val="auto"/>
        </w:rPr>
      </w:pPr>
      <w:r>
        <w:rPr>
          <w:color w:val="auto"/>
          <w:sz w:val="28"/>
        </w:rPr>
        <w:t>Источниками данных является отчет об исполнении местного бюджета за отчетный период.</w:t>
      </w:r>
    </w:p>
    <w:p>
      <w:pPr>
        <w:pStyle w:val="Normal"/>
        <w:tabs>
          <w:tab w:val="clear" w:pos="708"/>
          <w:tab w:val="left" w:pos="1134" w:leader="none"/>
        </w:tabs>
        <w:ind w:firstLine="708"/>
        <w:jc w:val="both"/>
        <w:rPr>
          <w:color w:val="auto"/>
        </w:rPr>
      </w:pPr>
      <w:r>
        <w:rPr>
          <w:color w:val="auto"/>
        </w:rPr>
      </w:r>
    </w:p>
    <w:p>
      <w:pPr>
        <w:pStyle w:val="Normal"/>
        <w:tabs>
          <w:tab w:val="clear" w:pos="708"/>
          <w:tab w:val="left" w:pos="1134" w:leader="none"/>
        </w:tabs>
        <w:ind w:firstLine="708"/>
        <w:jc w:val="both"/>
        <w:rPr>
          <w:color w:val="auto"/>
        </w:rPr>
      </w:pPr>
      <w:r>
        <w:rPr>
          <w:rFonts w:eastAsia="Calibri"/>
          <w:color w:val="auto"/>
          <w:sz w:val="28"/>
          <w:szCs w:val="28"/>
        </w:rPr>
        <w:t>2.2. Темп роста объема налоговых и неналоговых доходов местного бюджета, (ОС2)</w:t>
      </w:r>
      <w:r>
        <w:rPr>
          <w:color w:val="auto"/>
          <w:sz w:val="28"/>
          <w:szCs w:val="28"/>
        </w:rPr>
        <w:t xml:space="preserve">. </w:t>
      </w:r>
    </w:p>
    <w:p>
      <w:pPr>
        <w:pStyle w:val="NoSpacing"/>
        <w:tabs>
          <w:tab w:val="clear" w:pos="708"/>
          <w:tab w:val="left" w:pos="1276" w:leader="none"/>
        </w:tabs>
        <w:ind w:left="709" w:hanging="0"/>
        <w:jc w:val="both"/>
        <w:rPr>
          <w:color w:val="auto"/>
        </w:rPr>
      </w:pPr>
      <w:bookmarkStart w:id="176" w:name="__DdeLink__10033_3830895128"/>
      <w:r>
        <w:rPr>
          <w:rFonts w:ascii="Times New Roman" w:hAnsi="Times New Roman"/>
          <w:color w:val="auto"/>
          <w:sz w:val="28"/>
          <w:szCs w:val="28"/>
        </w:rPr>
        <w:t>Определяется в процентах и рассчитывается по формуле:</w:t>
      </w:r>
      <w:bookmarkEnd w:id="176"/>
    </w:p>
    <w:p>
      <w:pPr>
        <w:pStyle w:val="NoSpacing"/>
        <w:tabs>
          <w:tab w:val="clear" w:pos="708"/>
          <w:tab w:val="left" w:pos="1276" w:leader="none"/>
        </w:tabs>
        <w:ind w:left="709" w:hanging="0"/>
        <w:jc w:val="both"/>
        <w:rPr>
          <w:rFonts w:ascii="PT Astra Serif" w:hAnsi="PT Astra Serif"/>
          <w:color w:val="auto"/>
          <w:sz w:val="28"/>
          <w:szCs w:val="28"/>
        </w:rPr>
      </w:pPr>
      <w:r>
        <w:rPr>
          <w:rFonts w:ascii="PT Astra Serif" w:hAnsi="PT Astra Serif"/>
          <w:color w:val="auto"/>
          <w:sz w:val="28"/>
          <w:szCs w:val="28"/>
        </w:rPr>
      </w:r>
    </w:p>
    <w:p>
      <w:pPr>
        <w:pStyle w:val="Normal"/>
        <w:widowControl w:val="false"/>
        <w:jc w:val="center"/>
        <w:rPr>
          <w:color w:val="auto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ОС</m:t>
        </m:r>
        <m:r>
          <w:rPr>
            <w:rFonts w:ascii="Cambria Math" w:hAnsi="Cambria Math"/>
          </w:rPr>
          <m:t xml:space="preserve">2</m:t>
        </m:r>
        <m:r>
          <w:rPr>
            <w:rFonts w:ascii="Cambria Math" w:hAnsi="Cambria Math"/>
          </w:rPr>
          <m:t xml:space="preserve">=</m:t>
        </m:r>
        <m:f>
          <m:num>
            <m:f>
              <m:fPr>
                <m:type m:val="lin"/>
              </m:fPr>
              <m:num>
                <m:r>
                  <w:rPr>
                    <w:rFonts w:ascii="Cambria Math" w:hAnsi="Cambria Math"/>
                  </w:rPr>
                  <m:t xml:space="preserve">Дн</m:t>
                </m:r>
              </m:num>
              <m:den>
                <m:r>
                  <w:rPr>
                    <w:rFonts w:ascii="Cambria Math" w:hAnsi="Cambria Math"/>
                  </w:rPr>
                  <m:t xml:space="preserve">н</m:t>
                </m:r>
              </m:den>
            </m:f>
            <m:d>
              <m:dPr>
                <m:begChr m:val="("/>
                <m:endChr m:val=")"/>
              </m:dPr>
              <m:e>
                <m:r>
                  <w:rPr>
                    <w:rFonts w:ascii="Cambria Math" w:hAnsi="Cambria Math"/>
                  </w:rPr>
                  <m:t xml:space="preserve">i</m:t>
                </m:r>
              </m:e>
            </m:d>
          </m:num>
          <m:den>
            <m:r>
              <w:rPr>
                <w:rFonts w:ascii="Cambria Math" w:hAnsi="Cambria Math"/>
              </w:rPr>
              <m:t xml:space="preserve">Д</m:t>
            </m:r>
            <m:f>
              <m:fPr>
                <m:type m:val="lin"/>
              </m:fPr>
              <m:num>
                <m:r>
                  <w:rPr>
                    <w:rFonts w:ascii="Cambria Math" w:hAnsi="Cambria Math"/>
                  </w:rPr>
                  <m:t xml:space="preserve">н</m:t>
                </m:r>
              </m:num>
              <m:den>
                <m:r>
                  <w:rPr>
                    <w:rFonts w:ascii="Cambria Math" w:hAnsi="Cambria Math"/>
                  </w:rPr>
                  <m:t xml:space="preserve">н</m:t>
                </m:r>
              </m:den>
            </m:f>
            <m:d>
              <m:dPr>
                <m:begChr m:val="("/>
                <m:endChr m:val=")"/>
              </m:dPr>
              <m:e>
                <m:r>
                  <w:rPr>
                    <w:rFonts w:ascii="Cambria Math" w:hAnsi="Cambria Math"/>
                  </w:rPr>
                  <m:t xml:space="preserve">i</m:t>
                </m:r>
                <m:r>
                  <w:rPr>
                    <w:rFonts w:ascii="Cambria Math" w:hAnsi="Cambria Math"/>
                  </w:rPr>
                  <m:t xml:space="preserve">−</m:t>
                </m:r>
                <m:r>
                  <w:rPr>
                    <w:rFonts w:ascii="Cambria Math" w:hAnsi="Cambria Math"/>
                  </w:rPr>
                  <m:t xml:space="preserve">1</m:t>
                </m:r>
              </m:e>
            </m:d>
          </m:den>
        </m:f>
        <m:r>
          <w:rPr>
            <w:rFonts w:ascii="Cambria Math" w:hAnsi="Cambria Math"/>
          </w:rPr>
          <m:t xml:space="preserve">х</m:t>
        </m:r>
        <m:r>
          <w:rPr>
            <w:rFonts w:ascii="Cambria Math" w:hAnsi="Cambria Math"/>
          </w:rPr>
          <m:t xml:space="preserve">100</m:t>
        </m:r>
      </m:oMath>
      <w:r>
        <w:rPr>
          <w:rFonts w:ascii="PT Astra Serif" w:hAnsi="PT Astra Serif"/>
          <w:color w:val="auto"/>
          <w:sz w:val="28"/>
          <w:szCs w:val="28"/>
        </w:rPr>
        <w:t xml:space="preserve">,  </w:t>
      </w:r>
      <w:r>
        <w:rPr>
          <w:rFonts w:eastAsia="Calibri" w:ascii="PT Astra Serif" w:hAnsi="PT Astra Serif"/>
          <w:color w:val="auto"/>
          <w:sz w:val="28"/>
          <w:szCs w:val="28"/>
        </w:rPr>
        <w:t>г</w:t>
      </w:r>
      <w:r>
        <w:rPr>
          <w:rFonts w:eastAsia="Calibri" w:ascii="PT Astra Serif" w:hAnsi="PT Astra Serif"/>
          <w:iCs/>
          <w:color w:val="auto"/>
          <w:sz w:val="28"/>
          <w:szCs w:val="28"/>
        </w:rPr>
        <w:t>де:</w:t>
      </w:r>
    </w:p>
    <w:p>
      <w:pPr>
        <w:pStyle w:val="Normal"/>
        <w:widowControl w:val="false"/>
        <w:spacing w:lineRule="auto" w:line="240" w:before="0" w:after="0"/>
        <w:ind w:left="0" w:right="0" w:hanging="0"/>
        <w:jc w:val="both"/>
        <w:rPr>
          <w:rFonts w:eastAsia="Calibri"/>
          <w:iCs/>
          <w:color w:val="auto"/>
          <w:sz w:val="28"/>
          <w:szCs w:val="28"/>
        </w:rPr>
      </w:pPr>
      <w:r>
        <w:rPr>
          <w:rFonts w:eastAsia="Calibri"/>
          <w:iCs/>
          <w:color w:val="auto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left="0" w:right="0" w:hanging="0"/>
        <w:jc w:val="both"/>
        <w:rPr>
          <w:color w:val="auto"/>
        </w:rPr>
      </w:pPr>
      <w:r>
        <w:rPr>
          <w:rFonts w:eastAsia="Calibri"/>
          <w:iCs/>
          <w:color w:val="auto"/>
          <w:sz w:val="28"/>
          <w:szCs w:val="28"/>
        </w:rPr>
        <w:t xml:space="preserve">Дн/н – </w:t>
      </w:r>
      <w:r>
        <w:rPr>
          <w:rFonts w:eastAsia="Calibri"/>
          <w:color w:val="auto"/>
          <w:sz w:val="28"/>
          <w:szCs w:val="28"/>
        </w:rPr>
        <w:t>объем налоговых и неналоговых доходов местного бюджета, тыс. рублей;</w:t>
      </w:r>
    </w:p>
    <w:p>
      <w:pPr>
        <w:pStyle w:val="Normal"/>
        <w:widowControl w:val="false"/>
        <w:spacing w:lineRule="auto" w:line="240" w:before="0" w:after="0"/>
        <w:ind w:left="0" w:right="0" w:hanging="0"/>
        <w:rPr>
          <w:color w:val="auto"/>
        </w:rPr>
      </w:pPr>
      <w:r>
        <w:rPr>
          <w:rFonts w:eastAsia="Calibri"/>
          <w:iCs/>
          <w:color w:val="auto"/>
          <w:sz w:val="28"/>
          <w:szCs w:val="28"/>
          <w:lang w:val="en-US"/>
        </w:rPr>
        <w:t>i</w:t>
      </w:r>
      <w:r>
        <w:rPr>
          <w:rFonts w:eastAsia="Calibri"/>
          <w:iCs/>
          <w:color w:val="auto"/>
          <w:sz w:val="28"/>
          <w:szCs w:val="28"/>
        </w:rPr>
        <w:t xml:space="preserve"> – отчетный период;</w:t>
      </w:r>
    </w:p>
    <w:p>
      <w:pPr>
        <w:pStyle w:val="Normal"/>
        <w:widowControl w:val="false"/>
        <w:spacing w:lineRule="auto" w:line="240" w:before="0" w:after="0"/>
        <w:ind w:left="0" w:right="0" w:hanging="0"/>
        <w:rPr>
          <w:color w:val="auto"/>
        </w:rPr>
      </w:pPr>
      <w:r>
        <w:rPr>
          <w:rFonts w:eastAsia="Calibri"/>
          <w:iCs/>
          <w:color w:val="auto"/>
          <w:sz w:val="28"/>
          <w:szCs w:val="28"/>
          <w:lang w:val="en-US"/>
        </w:rPr>
        <w:t>i</w:t>
      </w:r>
      <w:r>
        <w:rPr>
          <w:rFonts w:eastAsia="Calibri"/>
          <w:iCs/>
          <w:color w:val="auto"/>
          <w:sz w:val="28"/>
          <w:szCs w:val="28"/>
        </w:rPr>
        <w:t>-1 – предшествующий период.</w:t>
      </w:r>
    </w:p>
    <w:p>
      <w:pPr>
        <w:pStyle w:val="Normal"/>
        <w:spacing w:lineRule="auto" w:line="240" w:before="0" w:after="0"/>
        <w:ind w:left="0" w:right="0" w:hanging="0"/>
        <w:jc w:val="both"/>
        <w:rPr>
          <w:color w:val="auto"/>
        </w:rPr>
      </w:pPr>
      <w:r>
        <w:rPr>
          <w:color w:val="auto"/>
          <w:sz w:val="28"/>
          <w:szCs w:val="28"/>
        </w:rPr>
        <w:tab/>
      </w:r>
      <w:bookmarkStart w:id="177" w:name="__DdeLink__10037_3830895128"/>
      <w:r>
        <w:rPr>
          <w:color w:val="auto"/>
          <w:sz w:val="28"/>
          <w:szCs w:val="28"/>
        </w:rPr>
        <w:t>Источниками данных является отчет об исполнении местного бюджета за отчетный период.</w:t>
      </w:r>
      <w:bookmarkEnd w:id="177"/>
    </w:p>
    <w:p>
      <w:pPr>
        <w:pStyle w:val="Normal"/>
        <w:tabs>
          <w:tab w:val="clear" w:pos="708"/>
          <w:tab w:val="left" w:pos="1134" w:leader="none"/>
        </w:tabs>
        <w:ind w:firstLine="708"/>
        <w:jc w:val="both"/>
        <w:rPr>
          <w:rFonts w:ascii="Times New Roman" w:hAnsi="Times New Roman"/>
          <w:color w:val="auto"/>
        </w:rPr>
      </w:pPr>
      <w:r>
        <w:rPr>
          <w:color w:val="auto"/>
        </w:rPr>
      </w:r>
    </w:p>
    <w:p>
      <w:pPr>
        <w:pStyle w:val="Normal"/>
        <w:tabs>
          <w:tab w:val="clear" w:pos="708"/>
          <w:tab w:val="left" w:pos="1134" w:leader="none"/>
        </w:tabs>
        <w:ind w:firstLine="708"/>
        <w:jc w:val="both"/>
        <w:rPr>
          <w:color w:val="auto"/>
        </w:rPr>
      </w:pPr>
      <w:r>
        <w:rPr>
          <w:color w:val="auto"/>
          <w:sz w:val="28"/>
        </w:rPr>
        <w:t xml:space="preserve">2.3. 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Удельный вес расходов местного бюджета, формируемых в рамках программ, (ПЭ1).</w:t>
      </w:r>
    </w:p>
    <w:p>
      <w:pPr>
        <w:pStyle w:val="NoSpacing"/>
        <w:tabs>
          <w:tab w:val="clear" w:pos="708"/>
          <w:tab w:val="left" w:pos="1276" w:leader="none"/>
        </w:tabs>
        <w:spacing w:lineRule="auto" w:line="240" w:before="0" w:after="0"/>
        <w:ind w:left="709" w:hanging="0"/>
        <w:jc w:val="both"/>
        <w:rPr>
          <w:color w:val="auto"/>
        </w:rPr>
      </w:pPr>
      <w:r>
        <w:rPr>
          <w:rFonts w:ascii="Times New Roman" w:hAnsi="Times New Roman"/>
          <w:color w:val="auto"/>
          <w:sz w:val="28"/>
          <w:szCs w:val="28"/>
        </w:rPr>
        <w:t>Определяется в процентах и рассчитывается по формуле:</w:t>
      </w:r>
    </w:p>
    <w:p>
      <w:pPr>
        <w:pStyle w:val="Normal"/>
        <w:widowControl w:val="false"/>
        <w:spacing w:lineRule="atLeast" w:line="120" w:beforeAutospacing="1" w:afterAutospacing="1"/>
        <w:jc w:val="center"/>
        <w:rPr>
          <w:color w:val="auto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ПЭ</m:t>
        </m:r>
        <m:r>
          <w:rPr>
            <w:rFonts w:ascii="Cambria Math" w:hAnsi="Cambria Math"/>
          </w:rPr>
          <m:t xml:space="preserve">1</m:t>
        </m:r>
        <m:r>
          <w:rPr>
            <w:rFonts w:ascii="Cambria Math" w:hAnsi="Cambria Math"/>
          </w:rPr>
          <m:t xml:space="preserve">=</m:t>
        </m:r>
        <m:f>
          <m:num>
            <m:r>
              <w:rPr>
                <w:rFonts w:ascii="Cambria Math" w:hAnsi="Cambria Math"/>
              </w:rPr>
              <m:t xml:space="preserve">РПр</m:t>
            </m:r>
          </m:num>
          <m:den>
            <m:r>
              <w:rPr>
                <w:rFonts w:ascii="Cambria Math" w:hAnsi="Cambria Math"/>
              </w:rPr>
              <m:t xml:space="preserve">Р</m:t>
            </m:r>
          </m:den>
        </m:f>
        <m:r>
          <w:rPr>
            <w:rFonts w:ascii="Cambria Math" w:hAnsi="Cambria Math"/>
          </w:rPr>
          <m:t xml:space="preserve">х</m:t>
        </m:r>
        <m:r>
          <w:rPr>
            <w:rFonts w:ascii="Cambria Math" w:hAnsi="Cambria Math"/>
          </w:rPr>
          <m:t xml:space="preserve">100</m:t>
        </m:r>
      </m:oMath>
      <w:r>
        <w:rPr>
          <w:rFonts w:ascii="PT Astra Serif" w:hAnsi="PT Astra Serif"/>
          <w:color w:val="auto"/>
          <w:sz w:val="28"/>
          <w:szCs w:val="28"/>
        </w:rPr>
        <w:t xml:space="preserve">,  </w:t>
      </w:r>
      <w:r>
        <w:rPr>
          <w:rFonts w:eastAsia="Calibri" w:ascii="PT Astra Serif" w:hAnsi="PT Astra Serif"/>
          <w:color w:val="auto"/>
          <w:sz w:val="28"/>
          <w:szCs w:val="28"/>
        </w:rPr>
        <w:t>где:</w:t>
      </w:r>
    </w:p>
    <w:p>
      <w:pPr>
        <w:pStyle w:val="Normal"/>
        <w:widowControl w:val="false"/>
        <w:spacing w:lineRule="auto" w:line="240" w:before="0" w:after="0"/>
        <w:ind w:hanging="0"/>
        <w:jc w:val="both"/>
        <w:rPr>
          <w:color w:val="auto"/>
        </w:rPr>
      </w:pPr>
      <w:r>
        <w:rPr>
          <w:rFonts w:eastAsia="Calibri"/>
          <w:color w:val="auto"/>
          <w:sz w:val="28"/>
          <w:szCs w:val="28"/>
        </w:rPr>
        <w:t>РПр – объем расходов местного бюджета, формируемых в рамках программ, тыс. рублей;</w:t>
      </w:r>
    </w:p>
    <w:p>
      <w:pPr>
        <w:pStyle w:val="Normal"/>
        <w:widowControl w:val="false"/>
        <w:spacing w:lineRule="auto" w:line="240" w:before="0" w:after="0"/>
        <w:jc w:val="both"/>
        <w:rPr>
          <w:color w:val="auto"/>
        </w:rPr>
      </w:pPr>
      <w:r>
        <w:rPr>
          <w:rFonts w:eastAsia="Calibri"/>
          <w:color w:val="auto"/>
          <w:sz w:val="28"/>
          <w:szCs w:val="28"/>
        </w:rPr>
        <w:t>Р – общий объем расходов местного бюджета,</w:t>
      </w:r>
      <w:r>
        <w:rPr>
          <w:color w:val="auto"/>
          <w:sz w:val="28"/>
          <w:szCs w:val="28"/>
        </w:rPr>
        <w:t xml:space="preserve"> тыс. рублей.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1134" w:leader="none"/>
        </w:tabs>
        <w:spacing w:lineRule="auto" w:line="240" w:before="0" w:after="0"/>
        <w:ind w:left="0" w:hanging="0"/>
        <w:jc w:val="both"/>
        <w:rPr>
          <w:color w:val="auto"/>
        </w:rPr>
      </w:pPr>
      <w:r>
        <w:rPr>
          <w:color w:val="auto"/>
          <w:sz w:val="28"/>
          <w:szCs w:val="28"/>
        </w:rPr>
        <w:tab/>
      </w:r>
      <w:bookmarkStart w:id="178" w:name="__DdeLink__10043_3830895128"/>
      <w:r>
        <w:rPr>
          <w:color w:val="auto"/>
          <w:sz w:val="28"/>
          <w:szCs w:val="28"/>
        </w:rPr>
        <w:t>Источниками данных является отчет об исполнении местного бюджета за отчетный период.</w:t>
      </w:r>
      <w:bookmarkEnd w:id="178"/>
    </w:p>
    <w:p>
      <w:pPr>
        <w:pStyle w:val="ListParagraph"/>
        <w:numPr>
          <w:ilvl w:val="0"/>
          <w:numId w:val="0"/>
        </w:numPr>
        <w:tabs>
          <w:tab w:val="clear" w:pos="708"/>
          <w:tab w:val="left" w:pos="736" w:leader="none"/>
        </w:tabs>
        <w:spacing w:before="0" w:after="0"/>
        <w:ind w:left="0" w:hanging="0"/>
        <w:jc w:val="both"/>
        <w:rPr>
          <w:color w:val="auto"/>
        </w:rPr>
      </w:pPr>
      <w:r>
        <w:rPr>
          <w:rFonts w:eastAsia="Calibri"/>
          <w:color w:val="auto"/>
          <w:sz w:val="28"/>
          <w:szCs w:val="28"/>
        </w:rPr>
        <w:tab/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736" w:leader="none"/>
        </w:tabs>
        <w:spacing w:before="0" w:after="0"/>
        <w:ind w:left="0" w:hanging="0"/>
        <w:jc w:val="both"/>
        <w:rPr>
          <w:color w:val="auto"/>
        </w:rPr>
      </w:pPr>
      <w:r>
        <w:rPr>
          <w:rFonts w:eastAsia="Calibri"/>
          <w:color w:val="auto"/>
          <w:sz w:val="28"/>
          <w:szCs w:val="28"/>
        </w:rPr>
        <w:tab/>
      </w:r>
      <w:r>
        <w:rPr>
          <w:color w:val="auto"/>
          <w:sz w:val="28"/>
        </w:rPr>
        <w:t xml:space="preserve">2.4. </w:t>
      </w:r>
      <w:r>
        <w:rPr>
          <w:rFonts w:eastAsia="Calibri"/>
          <w:color w:val="auto"/>
          <w:sz w:val="28"/>
          <w:szCs w:val="28"/>
        </w:rPr>
        <w:t>Доля выпадающих доходов местного бюджета, (ОС3).</w:t>
      </w:r>
    </w:p>
    <w:p>
      <w:pPr>
        <w:pStyle w:val="NoSpacing"/>
        <w:tabs>
          <w:tab w:val="clear" w:pos="708"/>
          <w:tab w:val="left" w:pos="1276" w:leader="none"/>
        </w:tabs>
        <w:spacing w:before="0" w:after="0"/>
        <w:ind w:left="709" w:hanging="0"/>
        <w:jc w:val="both"/>
        <w:rPr>
          <w:color w:val="auto"/>
        </w:rPr>
      </w:pPr>
      <w:r>
        <w:rPr>
          <w:rFonts w:ascii="Times New Roman" w:hAnsi="Times New Roman"/>
          <w:color w:val="auto"/>
          <w:sz w:val="28"/>
          <w:szCs w:val="28"/>
        </w:rPr>
        <w:t>Определяется в процентах и рассчитывается по формуле:</w:t>
      </w:r>
    </w:p>
    <w:p>
      <w:pPr>
        <w:pStyle w:val="NoSpacing"/>
        <w:tabs>
          <w:tab w:val="clear" w:pos="708"/>
          <w:tab w:val="left" w:pos="1276" w:leader="none"/>
        </w:tabs>
        <w:spacing w:before="0" w:after="0"/>
        <w:ind w:left="709" w:hanging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</w:p>
    <w:p>
      <w:pPr>
        <w:pStyle w:val="Normal"/>
        <w:widowControl w:val="false"/>
        <w:jc w:val="center"/>
        <w:rPr>
          <w:color w:val="auto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ОС</m:t>
        </m:r>
        <m:r>
          <w:rPr>
            <w:rFonts w:ascii="Cambria Math" w:hAnsi="Cambria Math"/>
          </w:rPr>
          <m:t xml:space="preserve">3</m:t>
        </m:r>
        <m:r>
          <w:rPr>
            <w:rFonts w:ascii="Cambria Math" w:hAnsi="Cambria Math"/>
          </w:rPr>
          <m:t xml:space="preserve">=</m:t>
        </m:r>
        <m:f>
          <m:num>
            <m:r>
              <w:rPr>
                <w:rFonts w:ascii="Cambria Math" w:hAnsi="Cambria Math"/>
              </w:rPr>
              <m:t xml:space="preserve">РНл</m:t>
            </m:r>
          </m:num>
          <m:den>
            <m:r>
              <w:rPr>
                <w:rFonts w:ascii="Cambria Math" w:hAnsi="Cambria Math"/>
              </w:rPr>
              <m:t xml:space="preserve">Дн</m:t>
            </m:r>
          </m:den>
        </m:f>
        <m:r>
          <w:rPr>
            <w:rFonts w:ascii="Cambria Math" w:hAnsi="Cambria Math"/>
          </w:rPr>
          <m:t xml:space="preserve">х</m:t>
        </m:r>
        <m:r>
          <w:rPr>
            <w:rFonts w:ascii="Cambria Math" w:hAnsi="Cambria Math"/>
          </w:rPr>
          <m:t xml:space="preserve">100</m:t>
        </m:r>
      </m:oMath>
      <w:r>
        <w:rPr>
          <w:rFonts w:ascii="PT Astra Serif" w:hAnsi="PT Astra Serif"/>
          <w:color w:val="auto"/>
          <w:sz w:val="28"/>
          <w:szCs w:val="28"/>
        </w:rPr>
        <w:t xml:space="preserve">,  </w:t>
      </w:r>
      <w:r>
        <w:rPr>
          <w:rFonts w:eastAsia="Calibri" w:ascii="PT Astra Serif" w:hAnsi="PT Astra Serif"/>
          <w:color w:val="auto"/>
          <w:sz w:val="28"/>
          <w:szCs w:val="28"/>
        </w:rPr>
        <w:t>где:</w:t>
      </w:r>
    </w:p>
    <w:p>
      <w:pPr>
        <w:pStyle w:val="Normal"/>
        <w:widowControl w:val="false"/>
        <w:spacing w:lineRule="auto" w:line="240" w:before="0" w:after="0"/>
        <w:rPr>
          <w:rFonts w:eastAsia="Calibri"/>
          <w:iCs/>
          <w:color w:val="auto"/>
          <w:sz w:val="28"/>
          <w:szCs w:val="28"/>
        </w:rPr>
      </w:pPr>
      <w:r>
        <w:rPr>
          <w:rFonts w:eastAsia="Calibri"/>
          <w:iCs/>
          <w:color w:val="auto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rPr>
          <w:color w:val="auto"/>
        </w:rPr>
      </w:pPr>
      <w:r>
        <w:rPr>
          <w:rFonts w:eastAsia="Calibri"/>
          <w:iCs/>
          <w:color w:val="auto"/>
          <w:sz w:val="28"/>
          <w:szCs w:val="28"/>
        </w:rPr>
        <w:t>РНл – в</w:t>
      </w:r>
      <w:r>
        <w:rPr>
          <w:rFonts w:eastAsia="Calibri"/>
          <w:color w:val="auto"/>
          <w:sz w:val="28"/>
          <w:szCs w:val="28"/>
        </w:rPr>
        <w:t xml:space="preserve">ыпадающие доходы местного бюджета, связанные с предоставлением </w:t>
      </w:r>
      <w:r>
        <w:rPr>
          <w:color w:val="auto"/>
          <w:sz w:val="28"/>
          <w:szCs w:val="28"/>
        </w:rPr>
        <w:t>налоговых расходов, тыс. рублей;</w:t>
      </w:r>
    </w:p>
    <w:p>
      <w:pPr>
        <w:pStyle w:val="Normal"/>
        <w:widowControl w:val="false"/>
        <w:spacing w:lineRule="auto" w:line="240" w:before="0" w:after="0"/>
        <w:rPr>
          <w:color w:val="auto"/>
        </w:rPr>
      </w:pPr>
      <w:r>
        <w:rPr>
          <w:rFonts w:eastAsia="Calibri"/>
          <w:iCs/>
          <w:color w:val="auto"/>
          <w:sz w:val="28"/>
          <w:szCs w:val="28"/>
        </w:rPr>
        <w:t>Дн – налоговые доходы местного бюджета, тыс. рублей.</w:t>
      </w:r>
    </w:p>
    <w:p>
      <w:pPr>
        <w:pStyle w:val="Normal"/>
        <w:ind w:firstLine="708"/>
        <w:jc w:val="both"/>
        <w:rPr>
          <w:color w:val="auto"/>
        </w:rPr>
      </w:pPr>
      <w:bookmarkStart w:id="179" w:name="__DdeLink__15627_365160058"/>
      <w:r>
        <w:rPr>
          <w:color w:val="auto"/>
          <w:sz w:val="28"/>
          <w:szCs w:val="28"/>
        </w:rPr>
        <w:t>Источниками данных является отчет об исполнении местного бюджета за отчетный период.</w:t>
      </w:r>
      <w:bookmarkEnd w:id="179"/>
    </w:p>
    <w:p>
      <w:pPr>
        <w:pStyle w:val="Normal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</w:p>
    <w:p>
      <w:pPr>
        <w:pStyle w:val="Normal"/>
        <w:ind w:firstLine="708"/>
        <w:jc w:val="both"/>
        <w:rPr>
          <w:color w:val="auto"/>
        </w:rPr>
      </w:pPr>
      <w:r>
        <w:rPr>
          <w:color w:val="auto"/>
          <w:sz w:val="28"/>
          <w:szCs w:val="28"/>
        </w:rPr>
        <w:t>2.5. Доля расходов местного бюджета, направленная на поддержку и развитие социальной сферы, (ПЭ2).</w:t>
      </w:r>
    </w:p>
    <w:p>
      <w:pPr>
        <w:pStyle w:val="NoSpacing"/>
        <w:tabs>
          <w:tab w:val="clear" w:pos="708"/>
          <w:tab w:val="left" w:pos="1276" w:leader="none"/>
        </w:tabs>
        <w:ind w:left="709" w:hanging="0"/>
        <w:jc w:val="both"/>
        <w:rPr>
          <w:color w:val="auto"/>
        </w:rPr>
      </w:pPr>
      <w:bookmarkStart w:id="180" w:name="__DdeLink__15640_365160058"/>
      <w:r>
        <w:rPr>
          <w:rFonts w:eastAsia="Calibri" w:ascii="Times New Roman" w:hAnsi="Times New Roman"/>
          <w:color w:val="auto"/>
          <w:sz w:val="28"/>
          <w:szCs w:val="28"/>
        </w:rPr>
        <w:t>Определяется в процентах и рассчитывается по формуле:</w:t>
      </w:r>
      <w:bookmarkEnd w:id="180"/>
    </w:p>
    <w:p>
      <w:pPr>
        <w:pStyle w:val="NoSpacing"/>
        <w:tabs>
          <w:tab w:val="clear" w:pos="708"/>
          <w:tab w:val="left" w:pos="1276" w:leader="none"/>
        </w:tabs>
        <w:ind w:left="709" w:hanging="0"/>
        <w:jc w:val="both"/>
        <w:rPr>
          <w:rFonts w:eastAsia="Calibri"/>
          <w:color w:val="auto"/>
          <w:sz w:val="28"/>
          <w:szCs w:val="28"/>
        </w:rPr>
      </w:pPr>
      <w:r>
        <w:rPr>
          <w:rFonts w:eastAsia="Calibri"/>
          <w:color w:val="auto"/>
          <w:sz w:val="28"/>
          <w:szCs w:val="28"/>
        </w:rPr>
      </w:r>
    </w:p>
    <w:p>
      <w:pPr>
        <w:pStyle w:val="ListParagraph"/>
        <w:widowControl w:val="false"/>
        <w:spacing w:before="0" w:after="0"/>
        <w:ind w:left="0" w:right="33" w:hanging="0"/>
        <w:contextualSpacing/>
        <w:jc w:val="center"/>
        <w:rPr>
          <w:color w:val="auto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ПЭ</m:t>
        </m:r>
        <m:r>
          <w:rPr>
            <w:rFonts w:ascii="Cambria Math" w:hAnsi="Cambria Math"/>
          </w:rPr>
          <m:t xml:space="preserve">2</m:t>
        </m:r>
        <m:r>
          <w:rPr>
            <w:rFonts w:ascii="Cambria Math" w:hAnsi="Cambria Math"/>
          </w:rPr>
          <m:t xml:space="preserve">=</m:t>
        </m:r>
        <m:f>
          <m:num>
            <m:r>
              <w:rPr>
                <w:rFonts w:ascii="Cambria Math" w:hAnsi="Cambria Math"/>
              </w:rPr>
              <m:t xml:space="preserve">РСс</m:t>
            </m:r>
          </m:num>
          <m:den>
            <m:r>
              <w:rPr>
                <w:rFonts w:ascii="Cambria Math" w:hAnsi="Cambria Math"/>
              </w:rPr>
              <m:t xml:space="preserve">Р</m:t>
            </m:r>
          </m:den>
        </m:f>
        <m:r>
          <w:rPr>
            <w:rFonts w:ascii="Cambria Math" w:hAnsi="Cambria Math"/>
          </w:rPr>
          <m:t xml:space="preserve">х</m:t>
        </m:r>
        <m:r>
          <w:rPr>
            <w:rFonts w:ascii="Cambria Math" w:hAnsi="Cambria Math"/>
          </w:rPr>
          <m:t xml:space="preserve">100</m:t>
        </m:r>
      </m:oMath>
      <w:r>
        <w:rPr>
          <w:rFonts w:ascii="PT Astra Serif" w:hAnsi="PT Astra Serif"/>
          <w:color w:val="auto"/>
          <w:sz w:val="28"/>
          <w:szCs w:val="28"/>
        </w:rPr>
        <w:t>,  где:</w:t>
      </w:r>
    </w:p>
    <w:p>
      <w:pPr>
        <w:pStyle w:val="ListParagraph"/>
        <w:widowControl w:val="false"/>
        <w:spacing w:before="0" w:after="0"/>
        <w:ind w:left="0" w:right="33" w:hanging="0"/>
        <w:contextualSpacing/>
        <w:jc w:val="both"/>
        <w:rPr>
          <w:rFonts w:eastAsia="Calibri"/>
          <w:iCs/>
          <w:color w:val="auto"/>
          <w:sz w:val="28"/>
          <w:szCs w:val="28"/>
        </w:rPr>
      </w:pPr>
      <w:r>
        <w:rPr>
          <w:rFonts w:eastAsia="Calibri"/>
          <w:iCs/>
          <w:color w:val="auto"/>
          <w:sz w:val="28"/>
          <w:szCs w:val="28"/>
        </w:rPr>
      </w:r>
    </w:p>
    <w:p>
      <w:pPr>
        <w:pStyle w:val="ListParagraph"/>
        <w:widowControl w:val="false"/>
        <w:spacing w:before="0" w:after="0"/>
        <w:ind w:left="0" w:right="33" w:hanging="0"/>
        <w:contextualSpacing/>
        <w:jc w:val="both"/>
        <w:rPr>
          <w:color w:val="auto"/>
        </w:rPr>
      </w:pPr>
      <w:r>
        <w:rPr>
          <w:rFonts w:eastAsia="Calibri"/>
          <w:iCs/>
          <w:color w:val="auto"/>
          <w:sz w:val="28"/>
          <w:szCs w:val="28"/>
        </w:rPr>
        <w:t xml:space="preserve">РСс – </w:t>
      </w:r>
      <w:r>
        <w:rPr>
          <w:rFonts w:eastAsia="Calibri"/>
          <w:color w:val="auto"/>
          <w:sz w:val="28"/>
          <w:szCs w:val="28"/>
        </w:rPr>
        <w:t>объем расходов местного бюджета, направленных на поддержку и развитие социальной сферы, тыс. рублей;</w:t>
      </w:r>
    </w:p>
    <w:p>
      <w:pPr>
        <w:pStyle w:val="ListParagraph"/>
        <w:widowControl w:val="false"/>
        <w:spacing w:before="0" w:after="0"/>
        <w:ind w:left="0" w:right="33" w:hanging="0"/>
        <w:contextualSpacing/>
        <w:jc w:val="both"/>
        <w:rPr>
          <w:color w:val="auto"/>
        </w:rPr>
      </w:pPr>
      <w:r>
        <w:rPr>
          <w:rFonts w:eastAsia="Calibri"/>
          <w:color w:val="auto"/>
          <w:sz w:val="28"/>
          <w:szCs w:val="28"/>
        </w:rPr>
        <w:t>Р – общий объем расходов местного бюджета</w:t>
      </w:r>
      <w:r>
        <w:rPr>
          <w:color w:val="auto"/>
          <w:sz w:val="28"/>
          <w:szCs w:val="28"/>
        </w:rPr>
        <w:t>, тыс. рублей.</w:t>
      </w:r>
    </w:p>
    <w:p>
      <w:pPr>
        <w:pStyle w:val="Normal"/>
        <w:ind w:firstLine="708"/>
        <w:jc w:val="both"/>
        <w:rPr>
          <w:color w:val="auto"/>
        </w:rPr>
      </w:pPr>
      <w:bookmarkStart w:id="181" w:name="__DdeLink__15644_365160058"/>
      <w:r>
        <w:rPr>
          <w:color w:val="auto"/>
          <w:sz w:val="28"/>
          <w:szCs w:val="28"/>
        </w:rPr>
        <w:t>Источниками данных является отчет об исполнении местного бюджета за отчетный период</w:t>
      </w:r>
      <w:bookmarkEnd w:id="181"/>
      <w:r>
        <w:rPr>
          <w:color w:val="auto"/>
          <w:sz w:val="28"/>
          <w:szCs w:val="28"/>
        </w:rPr>
        <w:t>.</w:t>
      </w:r>
    </w:p>
    <w:p>
      <w:pPr>
        <w:pStyle w:val="Normal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</w:p>
    <w:p>
      <w:pPr>
        <w:pStyle w:val="Normal"/>
        <w:ind w:firstLine="708"/>
        <w:jc w:val="both"/>
        <w:rPr>
          <w:color w:val="auto"/>
        </w:rPr>
      </w:pPr>
      <w:r>
        <w:rPr>
          <w:color w:val="auto"/>
          <w:sz w:val="28"/>
          <w:szCs w:val="28"/>
        </w:rPr>
        <w:t xml:space="preserve">2.6. </w:t>
      </w:r>
      <w:bookmarkStart w:id="182" w:name="__DdeLink__15629_365160058_Копия_1"/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 xml:space="preserve">Отношение объема просроченной кредиторской задолженности </w:t>
      </w:r>
      <w:r>
        <w:rPr>
          <w:rFonts w:eastAsia="Calibri" w:cs="Times New Roman"/>
          <w:color w:val="auto"/>
          <w:kern w:val="0"/>
          <w:sz w:val="28"/>
          <w:szCs w:val="28"/>
          <w:lang w:val="ru-RU" w:eastAsia="ru-RU" w:bidi="ar-SA"/>
        </w:rPr>
        <w:t xml:space="preserve">АСГО 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к расходам местного бюджета</w:t>
      </w:r>
      <w:bookmarkEnd w:id="182"/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, (ПЭ3).</w:t>
      </w:r>
    </w:p>
    <w:p>
      <w:pPr>
        <w:pStyle w:val="ListParagraph"/>
        <w:widowControl w:val="false"/>
        <w:spacing w:before="0" w:after="0"/>
        <w:ind w:left="0" w:right="33" w:hanging="0"/>
        <w:contextualSpacing/>
        <w:jc w:val="both"/>
        <w:rPr>
          <w:color w:val="auto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 xml:space="preserve"> 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ab/>
      </w:r>
      <w:r>
        <w:rPr>
          <w:rFonts w:eastAsia="Calibri" w:cs="Times New Roman"/>
          <w:color w:val="auto"/>
          <w:kern w:val="0"/>
          <w:sz w:val="28"/>
          <w:szCs w:val="28"/>
          <w:lang w:val="ru-RU" w:eastAsia="ru-RU" w:bidi="ar-SA"/>
        </w:rPr>
        <w:t>Определяется в процентах и рассчитывается по формуле:</w:t>
      </w:r>
    </w:p>
    <w:p>
      <w:pPr>
        <w:pStyle w:val="ListParagraph"/>
        <w:widowControl w:val="false"/>
        <w:spacing w:before="0" w:after="0"/>
        <w:ind w:left="0" w:right="33" w:hanging="0"/>
        <w:contextualSpacing/>
        <w:jc w:val="both"/>
        <w:rPr>
          <w:rFonts w:eastAsia="Calibri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Calibri" w:cs="Times New Roman"/>
          <w:color w:val="auto"/>
          <w:kern w:val="0"/>
          <w:sz w:val="28"/>
          <w:szCs w:val="28"/>
          <w:lang w:val="ru-RU" w:eastAsia="ru-RU" w:bidi="ar-SA"/>
        </w:rPr>
      </w:r>
    </w:p>
    <w:p>
      <w:pPr>
        <w:pStyle w:val="Normal"/>
        <w:widowControl w:val="false"/>
        <w:jc w:val="center"/>
        <w:rPr>
          <w:color w:val="auto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ПЭ</m:t>
        </m:r>
        <m:r>
          <w:rPr>
            <w:rFonts w:ascii="Cambria Math" w:hAnsi="Cambria Math"/>
          </w:rPr>
          <m:t xml:space="preserve">3</m:t>
        </m:r>
        <m:r>
          <w:rPr>
            <w:rFonts w:ascii="Cambria Math" w:hAnsi="Cambria Math"/>
          </w:rPr>
          <m:t xml:space="preserve">=</m:t>
        </m:r>
        <m:f>
          <m:num>
            <m:r>
              <w:rPr>
                <w:rFonts w:ascii="Cambria Math" w:hAnsi="Cambria Math"/>
              </w:rPr>
              <m:t xml:space="preserve">ПКРЗ</m:t>
            </m:r>
          </m:num>
          <m:den>
            <m:r>
              <w:rPr>
                <w:rFonts w:ascii="Cambria Math" w:hAnsi="Cambria Math"/>
              </w:rPr>
              <m:t xml:space="preserve">Р</m:t>
            </m:r>
          </m:den>
        </m:f>
        <m:r>
          <w:rPr>
            <w:rFonts w:ascii="Cambria Math" w:hAnsi="Cambria Math"/>
          </w:rPr>
          <m:t xml:space="preserve">х</m:t>
        </m:r>
        <m:r>
          <w:rPr>
            <w:rFonts w:ascii="Cambria Math" w:hAnsi="Cambria Math"/>
          </w:rPr>
          <m:t xml:space="preserve">100</m:t>
        </m:r>
      </m:oMath>
      <w:r>
        <w:rPr>
          <w:color w:val="auto"/>
        </w:rPr>
        <w:t xml:space="preserve">,  </w:t>
      </w:r>
      <w:r>
        <w:rPr>
          <w:rFonts w:eastAsia="Calibri"/>
          <w:color w:val="auto"/>
          <w:sz w:val="28"/>
          <w:szCs w:val="28"/>
        </w:rPr>
        <w:t>где:</w:t>
      </w:r>
    </w:p>
    <w:p>
      <w:pPr>
        <w:pStyle w:val="Normal"/>
        <w:widowControl w:val="false"/>
        <w:spacing w:lineRule="auto" w:line="240" w:before="0" w:after="0"/>
        <w:ind w:left="34" w:right="0" w:hanging="0"/>
        <w:jc w:val="both"/>
        <w:rPr>
          <w:rFonts w:eastAsia="Calibri"/>
          <w:iCs/>
          <w:color w:val="auto"/>
          <w:sz w:val="28"/>
          <w:szCs w:val="28"/>
        </w:rPr>
      </w:pPr>
      <w:r>
        <w:rPr>
          <w:rFonts w:eastAsia="Calibri"/>
          <w:iCs/>
          <w:color w:val="auto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left="34" w:right="0" w:hanging="0"/>
        <w:jc w:val="both"/>
        <w:rPr>
          <w:color w:val="auto"/>
        </w:rPr>
      </w:pPr>
      <w:r>
        <w:rPr>
          <w:rFonts w:eastAsia="Calibri"/>
          <w:iCs/>
          <w:color w:val="auto"/>
          <w:sz w:val="28"/>
          <w:szCs w:val="28"/>
        </w:rPr>
        <w:t xml:space="preserve">ПКРЗ </w:t>
      </w:r>
      <w:r>
        <w:rPr>
          <w:rFonts w:eastAsia="Calibri"/>
          <w:color w:val="auto"/>
          <w:sz w:val="28"/>
          <w:szCs w:val="28"/>
        </w:rPr>
        <w:t>– объем просроченной кредиторской задолженности местного бюджета, тыс. рублей;</w:t>
      </w:r>
    </w:p>
    <w:p>
      <w:pPr>
        <w:pStyle w:val="Normal"/>
        <w:widowControl w:val="false"/>
        <w:spacing w:lineRule="auto" w:line="240" w:before="0" w:after="0"/>
        <w:ind w:left="34" w:right="0" w:hanging="0"/>
        <w:rPr>
          <w:color w:val="auto"/>
        </w:rPr>
      </w:pPr>
      <w:r>
        <w:rPr>
          <w:rFonts w:eastAsia="Calibri" w:cs="Times New Roman"/>
          <w:iCs/>
          <w:color w:val="auto"/>
          <w:kern w:val="0"/>
          <w:sz w:val="28"/>
          <w:szCs w:val="28"/>
          <w:lang w:val="ru-RU" w:eastAsia="ru-RU" w:bidi="ar-SA"/>
        </w:rPr>
        <w:t xml:space="preserve">Р – </w:t>
      </w:r>
      <w:r>
        <w:rPr>
          <w:rFonts w:eastAsia="Calibri" w:cs="Times New Roman"/>
          <w:color w:val="auto"/>
          <w:kern w:val="0"/>
          <w:sz w:val="28"/>
          <w:szCs w:val="28"/>
          <w:lang w:val="ru-RU" w:eastAsia="ru-RU" w:bidi="ar-SA"/>
        </w:rPr>
        <w:t>общий объем расходов местного бюджета, тыс. рублей.</w:t>
      </w:r>
    </w:p>
    <w:p>
      <w:pPr>
        <w:pStyle w:val="Normal"/>
        <w:ind w:firstLine="708"/>
        <w:jc w:val="both"/>
        <w:rPr>
          <w:color w:val="auto"/>
        </w:rPr>
      </w:pPr>
      <w:bookmarkStart w:id="183" w:name="__DdeLink__17413_991871113"/>
      <w:r>
        <w:rPr>
          <w:color w:val="auto"/>
          <w:sz w:val="28"/>
          <w:szCs w:val="28"/>
        </w:rPr>
        <w:t>Источниками данных является отчет об исполнении местного бюджета за отчетный период.</w:t>
      </w:r>
      <w:bookmarkEnd w:id="183"/>
    </w:p>
    <w:p>
      <w:pPr>
        <w:pStyle w:val="Normal"/>
        <w:ind w:firstLine="708"/>
        <w:jc w:val="both"/>
        <w:rPr>
          <w:rFonts w:ascii="PT Astra Serif" w:hAnsi="PT Astra Serif"/>
          <w:color w:val="auto"/>
          <w:sz w:val="28"/>
          <w:szCs w:val="28"/>
        </w:rPr>
      </w:pPr>
      <w:r>
        <w:rPr>
          <w:rFonts w:ascii="PT Astra Serif" w:hAnsi="PT Astra Serif"/>
          <w:color w:val="auto"/>
          <w:sz w:val="28"/>
          <w:szCs w:val="28"/>
        </w:rPr>
      </w:r>
    </w:p>
    <w:p>
      <w:pPr>
        <w:pStyle w:val="Normal"/>
        <w:ind w:firstLine="708"/>
        <w:jc w:val="both"/>
        <w:rPr>
          <w:color w:val="auto"/>
        </w:rPr>
      </w:pPr>
      <w:r>
        <w:rPr>
          <w:color w:val="auto"/>
          <w:sz w:val="28"/>
          <w:szCs w:val="28"/>
        </w:rPr>
        <w:t>2.7. Укомплектованность сотрудниками, в соответствии со штатным расписанием финансового управления администрации Анжеро-Судженского городского округа, (УКС):</w:t>
      </w:r>
    </w:p>
    <w:p>
      <w:pPr>
        <w:pStyle w:val="NoSpacing"/>
        <w:tabs>
          <w:tab w:val="clear" w:pos="708"/>
          <w:tab w:val="left" w:pos="1276" w:leader="none"/>
        </w:tabs>
        <w:ind w:left="709" w:hanging="0"/>
        <w:jc w:val="both"/>
        <w:rPr>
          <w:color w:val="auto"/>
        </w:rPr>
      </w:pPr>
      <w:r>
        <w:rPr>
          <w:rFonts w:eastAsia="Calibri" w:cs="Times New Roman" w:ascii="Times New Roman" w:hAnsi="Times New Roman"/>
          <w:color w:val="auto"/>
          <w:kern w:val="0"/>
          <w:sz w:val="28"/>
          <w:szCs w:val="28"/>
          <w:lang w:val="ru-RU" w:eastAsia="ru-RU" w:bidi="ar-SA"/>
        </w:rPr>
        <w:t>Определяется в процентах и рассчитывается по формуле:</w:t>
      </w:r>
    </w:p>
    <w:p>
      <w:pPr>
        <w:pStyle w:val="NoSpacing"/>
        <w:tabs>
          <w:tab w:val="clear" w:pos="708"/>
          <w:tab w:val="left" w:pos="1276" w:leader="none"/>
        </w:tabs>
        <w:ind w:left="709" w:hanging="0"/>
        <w:jc w:val="both"/>
        <w:rPr>
          <w:rFonts w:eastAsia="Calibri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Calibri" w:cs="Times New Roman"/>
          <w:color w:val="auto"/>
          <w:kern w:val="0"/>
          <w:sz w:val="28"/>
          <w:szCs w:val="28"/>
          <w:lang w:val="ru-RU" w:eastAsia="ru-RU" w:bidi="ar-SA"/>
        </w:rPr>
      </w:r>
    </w:p>
    <w:p>
      <w:pPr>
        <w:pStyle w:val="Normal"/>
        <w:widowControl w:val="false"/>
        <w:jc w:val="center"/>
        <w:rPr>
          <w:color w:val="auto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УКС</m:t>
        </m:r>
        <m:r>
          <w:rPr>
            <w:rFonts w:ascii="Cambria Math" w:hAnsi="Cambria Math"/>
          </w:rPr>
          <m:t xml:space="preserve">=</m:t>
        </m:r>
        <m:f>
          <m:num>
            <m:r>
              <w:rPr>
                <w:rFonts w:ascii="Cambria Math" w:hAnsi="Cambria Math"/>
              </w:rPr>
              <m:t xml:space="preserve">УКС</m:t>
            </m:r>
            <m:r>
              <w:rPr>
                <w:rFonts w:ascii="Cambria Math" w:hAnsi="Cambria Math"/>
              </w:rPr>
              <m:t xml:space="preserve">факт</m:t>
            </m:r>
          </m:num>
          <m:den>
            <m:r>
              <w:rPr>
                <w:rFonts w:ascii="Cambria Math" w:hAnsi="Cambria Math"/>
              </w:rPr>
              <m:t xml:space="preserve">УКС</m:t>
            </m:r>
            <m:r>
              <w:rPr>
                <w:rFonts w:ascii="Cambria Math" w:hAnsi="Cambria Math"/>
              </w:rPr>
              <m:t xml:space="preserve">план</m:t>
            </m:r>
          </m:den>
        </m:f>
        <m:r>
          <w:rPr>
            <w:rFonts w:ascii="Cambria Math" w:hAnsi="Cambria Math"/>
          </w:rPr>
          <m:t xml:space="preserve">х</m:t>
        </m:r>
        <m:r>
          <w:rPr>
            <w:rFonts w:ascii="Cambria Math" w:hAnsi="Cambria Math"/>
          </w:rPr>
          <m:t xml:space="preserve">100</m:t>
        </m:r>
      </m:oMath>
      <w:r>
        <w:rPr>
          <w:color w:val="auto"/>
        </w:rPr>
        <w:t xml:space="preserve">,  </w:t>
      </w:r>
      <w:r>
        <w:rPr>
          <w:rFonts w:eastAsia="Calibri"/>
          <w:color w:val="auto"/>
          <w:sz w:val="28"/>
          <w:szCs w:val="28"/>
        </w:rPr>
        <w:t>где:</w:t>
      </w:r>
    </w:p>
    <w:p>
      <w:pPr>
        <w:pStyle w:val="Normal"/>
        <w:widowControl w:val="false"/>
        <w:ind w:left="34" w:right="0" w:hanging="0"/>
        <w:rPr>
          <w:color w:val="auto"/>
        </w:rPr>
      </w:pPr>
      <w:r>
        <w:rPr>
          <w:color w:val="auto"/>
        </w:rPr>
      </w:r>
    </w:p>
    <w:p>
      <w:pPr>
        <w:pStyle w:val="Normal"/>
        <w:widowControl w:val="false"/>
        <w:ind w:left="34" w:right="0" w:hanging="0"/>
        <w:jc w:val="both"/>
        <w:rPr>
          <w:color w:val="auto"/>
        </w:rPr>
      </w:pPr>
      <w:bookmarkStart w:id="184" w:name="__DdeLink__17415_991871113"/>
      <w:r>
        <w:rPr>
          <w:rFonts w:eastAsia="Calibri"/>
          <w:iCs/>
          <w:color w:val="auto"/>
          <w:sz w:val="28"/>
          <w:szCs w:val="28"/>
        </w:rPr>
        <w:t xml:space="preserve">УКСфакт </w:t>
      </w:r>
      <w:r>
        <w:rPr>
          <w:rFonts w:eastAsia="Calibri"/>
          <w:color w:val="auto"/>
          <w:sz w:val="28"/>
          <w:szCs w:val="28"/>
        </w:rPr>
        <w:t>– укомплектованность сотрудниками на конец отчетного периода, единиц;</w:t>
      </w:r>
      <w:bookmarkEnd w:id="184"/>
    </w:p>
    <w:p>
      <w:pPr>
        <w:pStyle w:val="Normal"/>
        <w:widowControl w:val="false"/>
        <w:ind w:left="34" w:right="0" w:hanging="0"/>
        <w:jc w:val="both"/>
        <w:rPr>
          <w:color w:val="auto"/>
        </w:rPr>
      </w:pPr>
      <w:r>
        <w:rPr>
          <w:rFonts w:eastAsia="Calibri" w:cs="Times New Roman"/>
          <w:iCs/>
          <w:color w:val="auto"/>
          <w:kern w:val="0"/>
          <w:sz w:val="28"/>
          <w:szCs w:val="28"/>
          <w:lang w:val="ru-RU" w:eastAsia="ru-RU" w:bidi="ar-SA"/>
        </w:rPr>
        <w:t xml:space="preserve">УКСплан </w:t>
      </w:r>
      <w:r>
        <w:rPr>
          <w:rFonts w:eastAsia="Calibri" w:cs="Times New Roman"/>
          <w:color w:val="auto"/>
          <w:kern w:val="0"/>
          <w:sz w:val="28"/>
          <w:szCs w:val="28"/>
          <w:lang w:val="ru-RU" w:eastAsia="ru-RU" w:bidi="ar-SA"/>
        </w:rPr>
        <w:t>– укомплектованность сотрудниками по утвержденному штатному расписанию на конец отчетного периода, единиц.</w:t>
      </w:r>
    </w:p>
    <w:p>
      <w:pPr>
        <w:pStyle w:val="Normal"/>
        <w:ind w:firstLine="708"/>
        <w:jc w:val="both"/>
        <w:rPr>
          <w:color w:val="auto"/>
        </w:rPr>
      </w:pPr>
      <w:r>
        <w:rPr>
          <w:color w:val="auto"/>
          <w:sz w:val="28"/>
          <w:szCs w:val="28"/>
        </w:rPr>
        <w:t>Источниками данных является штатное расписание и фактическая отчетная численность сотрудников на конец отчетного периода.</w:t>
      </w:r>
    </w:p>
    <w:p>
      <w:pPr>
        <w:pStyle w:val="NoSpacing"/>
        <w:numPr>
          <w:ilvl w:val="0"/>
          <w:numId w:val="0"/>
        </w:numPr>
        <w:tabs>
          <w:tab w:val="clear" w:pos="708"/>
          <w:tab w:val="left" w:pos="1276" w:leader="none"/>
        </w:tabs>
        <w:ind w:left="0" w:hanging="0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</w:r>
    </w:p>
    <w:p>
      <w:pPr>
        <w:pStyle w:val="Normal"/>
        <w:ind w:firstLine="708"/>
        <w:jc w:val="both"/>
        <w:rPr>
          <w:color w:val="auto"/>
        </w:rPr>
      </w:pPr>
      <w:r>
        <w:rPr>
          <w:color w:val="auto"/>
          <w:sz w:val="28"/>
        </w:rPr>
        <w:t xml:space="preserve">3. </w:t>
      </w:r>
      <w:bookmarkStart w:id="185" w:name="__DdeLink__9782_3429019520"/>
      <w:r>
        <w:rPr>
          <w:color w:val="auto"/>
          <w:sz w:val="28"/>
        </w:rPr>
        <w:t>Показатели комплекса процессных мероприятий «</w:t>
      </w:r>
      <w:r>
        <w:rPr>
          <w:color w:val="auto"/>
          <w:sz w:val="28"/>
          <w:highlight w:val="white"/>
        </w:rPr>
        <w:t xml:space="preserve">Управление </w:t>
      </w:r>
      <w:r>
        <w:rPr>
          <w:color w:val="000000"/>
          <w:sz w:val="28"/>
          <w:highlight w:val="white"/>
          <w:shd w:fill="FFFF00" w:val="clear"/>
        </w:rPr>
        <w:t>муниципальным</w:t>
      </w:r>
      <w:r>
        <w:rPr>
          <w:color w:val="auto"/>
          <w:sz w:val="28"/>
          <w:highlight w:val="white"/>
        </w:rPr>
        <w:t xml:space="preserve"> долгом</w:t>
      </w:r>
      <w:r>
        <w:rPr>
          <w:color w:val="auto"/>
          <w:sz w:val="28"/>
        </w:rPr>
        <w:t>» муниципальной программы:</w:t>
      </w:r>
      <w:bookmarkEnd w:id="185"/>
    </w:p>
    <w:p>
      <w:pPr>
        <w:pStyle w:val="Normal"/>
        <w:ind w:firstLine="708"/>
        <w:jc w:val="both"/>
        <w:rPr>
          <w:color w:val="auto"/>
        </w:rPr>
      </w:pPr>
      <w:r>
        <w:rPr>
          <w:color w:val="auto"/>
          <w:sz w:val="28"/>
          <w:szCs w:val="28"/>
        </w:rPr>
        <w:t>3.1. Отношение расходов на обслуживание муниципального долга АСГО по данным отчета об исполнении местного бюджета за отчетный финансовый год к объему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</w:r>
      <w:r>
        <w:rPr>
          <w:color w:val="auto"/>
          <w:sz w:val="28"/>
        </w:rPr>
        <w:t xml:space="preserve"> </w:t>
      </w:r>
      <w:r>
        <w:rPr>
          <w:rFonts w:eastAsia="Calibri"/>
          <w:color w:val="auto"/>
          <w:sz w:val="28"/>
          <w:szCs w:val="28"/>
        </w:rPr>
        <w:t>(УМД3)</w:t>
      </w:r>
      <w:r>
        <w:rPr>
          <w:color w:val="auto"/>
          <w:sz w:val="28"/>
        </w:rPr>
        <w:t>.</w:t>
      </w:r>
    </w:p>
    <w:p>
      <w:pPr>
        <w:pStyle w:val="ListParagraph"/>
        <w:tabs>
          <w:tab w:val="clear" w:pos="708"/>
          <w:tab w:val="left" w:pos="851" w:leader="none"/>
          <w:tab w:val="left" w:pos="1276" w:leader="none"/>
        </w:tabs>
        <w:spacing w:before="0" w:after="0"/>
        <w:ind w:left="0" w:firstLine="709"/>
        <w:jc w:val="both"/>
        <w:rPr>
          <w:color w:val="auto"/>
        </w:rPr>
      </w:pPr>
      <w:r>
        <w:rPr>
          <w:color w:val="auto"/>
          <w:sz w:val="28"/>
        </w:rPr>
        <w:t>Определяется в процентах и рассчитывается по формуле:</w:t>
      </w:r>
    </w:p>
    <w:p>
      <w:pPr>
        <w:pStyle w:val="ListParagraph"/>
        <w:tabs>
          <w:tab w:val="clear" w:pos="708"/>
          <w:tab w:val="left" w:pos="851" w:leader="none"/>
        </w:tabs>
        <w:spacing w:before="0" w:after="0"/>
        <w:ind w:left="567" w:hanging="0"/>
        <w:jc w:val="both"/>
        <w:rPr>
          <w:color w:val="auto"/>
          <w:sz w:val="28"/>
        </w:rPr>
      </w:pPr>
      <w:r>
        <w:rPr>
          <w:color w:val="auto"/>
          <w:sz w:val="28"/>
        </w:rPr>
      </w:r>
    </w:p>
    <w:p>
      <w:pPr>
        <w:pStyle w:val="Normal"/>
        <w:widowControl w:val="false"/>
        <w:jc w:val="center"/>
        <w:rPr>
          <w:color w:val="auto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УМД</m:t>
        </m:r>
        <m:r>
          <w:rPr>
            <w:rFonts w:ascii="Cambria Math" w:hAnsi="Cambria Math"/>
          </w:rPr>
          <m:t xml:space="preserve">3</m:t>
        </m:r>
        <m:r>
          <w:rPr>
            <w:rFonts w:ascii="Cambria Math" w:hAnsi="Cambria Math"/>
          </w:rPr>
          <m:t xml:space="preserve">=</m:t>
        </m:r>
        <m:f>
          <m:num>
            <m:r>
              <w:rPr>
                <w:rFonts w:ascii="Cambria Math" w:hAnsi="Cambria Math"/>
              </w:rPr>
              <m:t xml:space="preserve">РОМД</m:t>
            </m:r>
          </m:num>
          <m:den>
            <m:r>
              <w:rPr>
                <w:rFonts w:ascii="Cambria Math" w:hAnsi="Cambria Math"/>
              </w:rPr>
              <m:t xml:space="preserve">Р</m:t>
            </m:r>
            <m:r>
              <w:rPr>
                <w:rFonts w:ascii="Cambria Math" w:hAnsi="Cambria Math"/>
              </w:rPr>
              <m:t xml:space="preserve">−</m:t>
            </m:r>
            <m:r>
              <w:rPr>
                <w:rFonts w:ascii="Cambria Math" w:hAnsi="Cambria Math"/>
              </w:rPr>
              <m:t xml:space="preserve">Рсубв</m:t>
            </m:r>
          </m:den>
        </m:f>
        <m:r>
          <w:rPr>
            <w:rFonts w:ascii="Cambria Math" w:hAnsi="Cambria Math"/>
          </w:rPr>
          <m:t xml:space="preserve">х</m:t>
        </m:r>
        <m:r>
          <w:rPr>
            <w:rFonts w:ascii="Cambria Math" w:hAnsi="Cambria Math"/>
          </w:rPr>
          <m:t xml:space="preserve">100</m:t>
        </m:r>
      </m:oMath>
      <w:r>
        <w:rPr>
          <w:color w:val="auto"/>
        </w:rPr>
        <w:t xml:space="preserve">,  </w:t>
      </w:r>
      <w:r>
        <w:rPr>
          <w:rFonts w:eastAsia="Calibri"/>
          <w:color w:val="auto"/>
          <w:sz w:val="28"/>
          <w:szCs w:val="28"/>
        </w:rPr>
        <w:t>где:</w:t>
      </w:r>
    </w:p>
    <w:p>
      <w:pPr>
        <w:pStyle w:val="Normal"/>
        <w:widowControl w:val="false"/>
        <w:jc w:val="both"/>
        <w:rPr>
          <w:rFonts w:eastAsia="Calibri"/>
          <w:iCs/>
          <w:color w:val="auto"/>
          <w:sz w:val="28"/>
          <w:szCs w:val="28"/>
        </w:rPr>
      </w:pPr>
      <w:r>
        <w:rPr>
          <w:rFonts w:eastAsia="Calibri"/>
          <w:iCs/>
          <w:color w:val="auto"/>
          <w:sz w:val="28"/>
          <w:szCs w:val="28"/>
        </w:rPr>
      </w:r>
    </w:p>
    <w:p>
      <w:pPr>
        <w:pStyle w:val="Normal"/>
        <w:widowControl w:val="false"/>
        <w:jc w:val="both"/>
        <w:rPr>
          <w:color w:val="auto"/>
        </w:rPr>
      </w:pPr>
      <w:r>
        <w:rPr>
          <w:rFonts w:eastAsia="Calibri"/>
          <w:iCs/>
          <w:color w:val="auto"/>
          <w:sz w:val="28"/>
          <w:szCs w:val="28"/>
        </w:rPr>
        <w:t xml:space="preserve">РОМД – расходы на обслуживание муниципального долга </w:t>
      </w:r>
      <w:r>
        <w:rPr>
          <w:rFonts w:eastAsia="Calibri"/>
          <w:color w:val="auto"/>
          <w:sz w:val="28"/>
          <w:szCs w:val="28"/>
        </w:rPr>
        <w:t>АСГО, тыс. рублей</w:t>
      </w:r>
      <w:r>
        <w:rPr>
          <w:rFonts w:eastAsia="Calibri"/>
          <w:iCs/>
          <w:color w:val="auto"/>
          <w:sz w:val="28"/>
          <w:szCs w:val="28"/>
        </w:rPr>
        <w:t>;</w:t>
      </w:r>
    </w:p>
    <w:p>
      <w:pPr>
        <w:pStyle w:val="Normal"/>
        <w:widowControl w:val="false"/>
        <w:jc w:val="both"/>
        <w:rPr>
          <w:color w:val="auto"/>
        </w:rPr>
      </w:pPr>
      <w:r>
        <w:rPr>
          <w:rFonts w:eastAsia="Calibri"/>
          <w:iCs/>
          <w:color w:val="auto"/>
          <w:sz w:val="28"/>
          <w:szCs w:val="28"/>
        </w:rPr>
        <w:t xml:space="preserve">Р – </w:t>
      </w:r>
      <w:r>
        <w:rPr>
          <w:rFonts w:eastAsia="Calibri"/>
          <w:color w:val="auto"/>
          <w:sz w:val="28"/>
          <w:szCs w:val="28"/>
        </w:rPr>
        <w:t>общий объем расходов местного бюджета, тыс. рублей;</w:t>
      </w:r>
    </w:p>
    <w:p>
      <w:pPr>
        <w:pStyle w:val="Normal"/>
        <w:widowControl w:val="false"/>
        <w:jc w:val="both"/>
        <w:rPr>
          <w:color w:val="auto"/>
        </w:rPr>
      </w:pPr>
      <w:r>
        <w:rPr>
          <w:rFonts w:eastAsia="Calibri"/>
          <w:color w:val="auto"/>
          <w:sz w:val="28"/>
          <w:szCs w:val="28"/>
        </w:rPr>
        <w:t>Р</w:t>
      </w:r>
      <w:r>
        <w:rPr>
          <w:rFonts w:eastAsia="Calibri"/>
          <w:color w:val="auto"/>
          <w:sz w:val="28"/>
          <w:szCs w:val="28"/>
          <w:vertAlign w:val="subscript"/>
        </w:rPr>
        <w:t>субв</w:t>
      </w:r>
      <w:r>
        <w:rPr>
          <w:rFonts w:eastAsia="Calibri"/>
          <w:color w:val="auto"/>
          <w:sz w:val="28"/>
          <w:szCs w:val="28"/>
        </w:rPr>
        <w:t xml:space="preserve"> -  расходы местного бюджета, осуществляемые за счет субвенций, предоставляемых из бюджетов бюджетной системы РФ, тыс. рублей</w:t>
      </w:r>
    </w:p>
    <w:p>
      <w:pPr>
        <w:pStyle w:val="Normal"/>
        <w:ind w:firstLine="708"/>
        <w:jc w:val="both"/>
        <w:rPr>
          <w:color w:val="auto"/>
        </w:rPr>
      </w:pPr>
      <w:bookmarkStart w:id="186" w:name="__DdeLink__13712_4140419480"/>
      <w:r>
        <w:rPr>
          <w:color w:val="auto"/>
          <w:sz w:val="28"/>
        </w:rPr>
        <w:t>Источниками данных является отчет об исполнении местного бюджета за отчетный период.</w:t>
      </w:r>
      <w:bookmarkEnd w:id="186"/>
    </w:p>
    <w:p>
      <w:pPr>
        <w:pStyle w:val="Normal"/>
        <w:ind w:firstLine="708"/>
        <w:jc w:val="both"/>
        <w:rPr>
          <w:rFonts w:ascii="Times New Roman" w:hAnsi="Times New Roman"/>
          <w:color w:val="auto"/>
          <w:sz w:val="28"/>
        </w:rPr>
      </w:pPr>
      <w:r>
        <w:rPr>
          <w:color w:val="auto"/>
          <w:sz w:val="28"/>
        </w:rPr>
      </w:r>
    </w:p>
    <w:p>
      <w:pPr>
        <w:pStyle w:val="ListParagraph"/>
        <w:widowControl w:val="false"/>
        <w:numPr>
          <w:ilvl w:val="0"/>
          <w:numId w:val="0"/>
        </w:numPr>
        <w:spacing w:beforeAutospacing="0" w:before="0" w:afterAutospacing="0" w:after="0"/>
        <w:ind w:left="0" w:right="33" w:hanging="0"/>
        <w:rPr>
          <w:color w:val="auto"/>
        </w:rPr>
      </w:pPr>
      <w:r>
        <w:rPr>
          <w:rFonts w:eastAsia="Calibri"/>
          <w:color w:val="auto"/>
          <w:sz w:val="28"/>
          <w:szCs w:val="28"/>
        </w:rPr>
        <w:tab/>
        <w:t xml:space="preserve">3.2. Доля просроченной задолженности по долговым обязательствам </w:t>
      </w:r>
      <w:r>
        <w:rPr>
          <w:color w:val="auto"/>
          <w:sz w:val="28"/>
          <w:szCs w:val="28"/>
        </w:rPr>
        <w:t xml:space="preserve">АСГО, </w:t>
      </w:r>
      <w:r>
        <w:rPr>
          <w:rFonts w:eastAsia="Calibri"/>
          <w:color w:val="auto"/>
          <w:sz w:val="28"/>
          <w:szCs w:val="28"/>
        </w:rPr>
        <w:t>(УМД2).</w:t>
      </w:r>
    </w:p>
    <w:p>
      <w:pPr>
        <w:pStyle w:val="ListParagraph"/>
        <w:tabs>
          <w:tab w:val="clear" w:pos="708"/>
          <w:tab w:val="left" w:pos="1276" w:leader="none"/>
        </w:tabs>
        <w:spacing w:before="0" w:after="0"/>
        <w:ind w:left="709" w:hanging="0"/>
        <w:jc w:val="both"/>
        <w:rPr>
          <w:color w:val="auto"/>
        </w:rPr>
      </w:pPr>
      <w:bookmarkStart w:id="187" w:name="__DdeLink__13710_4140419480"/>
      <w:r>
        <w:rPr>
          <w:color w:val="auto"/>
          <w:sz w:val="28"/>
        </w:rPr>
        <w:t>Определяется в процентах и рассчитывается по формуле:</w:t>
      </w:r>
      <w:bookmarkEnd w:id="187"/>
    </w:p>
    <w:p>
      <w:pPr>
        <w:pStyle w:val="NoSpacing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</w:r>
    </w:p>
    <w:p>
      <w:pPr>
        <w:pStyle w:val="Normal"/>
        <w:widowControl w:val="false"/>
        <w:jc w:val="center"/>
        <w:rPr>
          <w:color w:val="auto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УМД</m:t>
        </m:r>
        <m:r>
          <w:rPr>
            <w:rFonts w:ascii="Cambria Math" w:hAnsi="Cambria Math"/>
          </w:rPr>
          <m:t xml:space="preserve">2</m:t>
        </m:r>
        <m:r>
          <w:rPr>
            <w:rFonts w:ascii="Cambria Math" w:hAnsi="Cambria Math"/>
          </w:rPr>
          <m:t xml:space="preserve">=</m:t>
        </m:r>
        <m:f>
          <m:num>
            <m:r>
              <w:rPr>
                <w:rFonts w:ascii="Cambria Math" w:hAnsi="Cambria Math"/>
              </w:rPr>
              <m:t xml:space="preserve">ПЗДО</m:t>
            </m:r>
          </m:num>
          <m:den>
            <m:r>
              <w:rPr>
                <w:rFonts w:ascii="Cambria Math" w:hAnsi="Cambria Math"/>
              </w:rPr>
              <m:t xml:space="preserve">ЗДО</m:t>
            </m:r>
          </m:den>
        </m:f>
        <m:r>
          <w:rPr>
            <w:rFonts w:ascii="Cambria Math" w:hAnsi="Cambria Math"/>
          </w:rPr>
          <m:t xml:space="preserve">х</m:t>
        </m:r>
        <m:r>
          <w:rPr>
            <w:rFonts w:ascii="Cambria Math" w:hAnsi="Cambria Math"/>
          </w:rPr>
          <m:t xml:space="preserve">100</m:t>
        </m:r>
      </m:oMath>
      <w:r>
        <w:rPr>
          <w:color w:val="auto"/>
        </w:rPr>
        <w:t xml:space="preserve">, </w:t>
      </w:r>
      <w:r>
        <w:rPr>
          <w:rFonts w:eastAsia="Calibri"/>
          <w:color w:val="auto"/>
          <w:sz w:val="28"/>
          <w:szCs w:val="28"/>
        </w:rPr>
        <w:t>где:</w:t>
      </w:r>
    </w:p>
    <w:p>
      <w:pPr>
        <w:pStyle w:val="ListParagraph"/>
        <w:widowControl w:val="false"/>
        <w:spacing w:beforeAutospacing="0" w:before="0" w:afterAutospacing="0" w:after="0"/>
        <w:ind w:right="33" w:hanging="0"/>
        <w:contextualSpacing/>
        <w:jc w:val="both"/>
        <w:rPr>
          <w:color w:val="auto"/>
        </w:rPr>
      </w:pPr>
      <w:r>
        <w:rPr>
          <w:color w:val="auto"/>
        </w:rPr>
      </w:r>
    </w:p>
    <w:p>
      <w:pPr>
        <w:pStyle w:val="ListParagraph"/>
        <w:widowControl w:val="false"/>
        <w:spacing w:beforeAutospacing="0" w:before="0" w:afterAutospacing="0" w:after="0"/>
        <w:ind w:right="33" w:hanging="0"/>
        <w:contextualSpacing/>
        <w:jc w:val="both"/>
        <w:rPr>
          <w:color w:val="auto"/>
        </w:rPr>
      </w:pPr>
      <w:r>
        <w:rPr>
          <w:rFonts w:eastAsia="Calibri"/>
          <w:iCs/>
          <w:color w:val="auto"/>
          <w:sz w:val="28"/>
          <w:szCs w:val="28"/>
        </w:rPr>
        <w:t xml:space="preserve">ПЗДО – объем просроченной задолженности по долговым обязательствам </w:t>
      </w:r>
      <w:r>
        <w:rPr>
          <w:color w:val="auto"/>
          <w:sz w:val="28"/>
          <w:szCs w:val="28"/>
        </w:rPr>
        <w:t>АСГО, тыс. рублей</w:t>
      </w:r>
      <w:r>
        <w:rPr>
          <w:rFonts w:eastAsia="Calibri"/>
          <w:iCs/>
          <w:color w:val="auto"/>
          <w:sz w:val="28"/>
          <w:szCs w:val="28"/>
        </w:rPr>
        <w:t>;</w:t>
      </w:r>
    </w:p>
    <w:p>
      <w:pPr>
        <w:pStyle w:val="ListParagraph"/>
        <w:widowControl w:val="false"/>
        <w:spacing w:beforeAutospacing="0" w:before="0" w:afterAutospacing="0" w:after="0"/>
        <w:ind w:right="33" w:hanging="0"/>
        <w:contextualSpacing/>
        <w:jc w:val="both"/>
        <w:rPr>
          <w:color w:val="auto"/>
        </w:rPr>
      </w:pPr>
      <w:r>
        <w:rPr>
          <w:rFonts w:eastAsia="Calibri"/>
          <w:iCs/>
          <w:color w:val="auto"/>
          <w:sz w:val="28"/>
          <w:szCs w:val="28"/>
        </w:rPr>
        <w:t xml:space="preserve">ЗДО – общий объем задолженности по долговым обязательствам </w:t>
      </w:r>
      <w:bookmarkStart w:id="188" w:name="__DdeLink__15662_3763259542"/>
      <w:r>
        <w:rPr>
          <w:color w:val="auto"/>
          <w:sz w:val="28"/>
          <w:szCs w:val="28"/>
        </w:rPr>
        <w:t>А</w:t>
      </w:r>
      <w:bookmarkEnd w:id="188"/>
      <w:r>
        <w:rPr>
          <w:color w:val="auto"/>
          <w:sz w:val="28"/>
          <w:szCs w:val="28"/>
        </w:rPr>
        <w:t>СГО, тыс. рублей</w:t>
      </w:r>
    </w:p>
    <w:p>
      <w:pPr>
        <w:pStyle w:val="Normal"/>
        <w:ind w:firstLine="708"/>
        <w:jc w:val="both"/>
        <w:rPr>
          <w:color w:val="auto"/>
        </w:rPr>
      </w:pPr>
      <w:r>
        <w:rPr>
          <w:color w:val="auto"/>
          <w:sz w:val="28"/>
        </w:rPr>
        <w:t xml:space="preserve">Источниками данных является отчет об исполнении местного бюджета за отчетный период и муниципальная долговая книга </w:t>
      </w:r>
      <w:r>
        <w:rPr>
          <w:color w:val="auto"/>
          <w:sz w:val="28"/>
          <w:szCs w:val="28"/>
        </w:rPr>
        <w:t>АСГО</w:t>
      </w:r>
      <w:r>
        <w:rPr>
          <w:color w:val="auto"/>
          <w:sz w:val="28"/>
        </w:rPr>
        <w:t>.</w:t>
      </w:r>
    </w:p>
    <w:p>
      <w:pPr>
        <w:pStyle w:val="Normal"/>
        <w:widowControl w:val="false"/>
        <w:spacing w:lineRule="atLeast" w:line="120" w:before="280" w:after="0"/>
        <w:ind w:left="34" w:right="0" w:hanging="0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numPr>
          <w:ilvl w:val="0"/>
          <w:numId w:val="0"/>
        </w:numPr>
        <w:ind w:left="0" w:firstLine="709"/>
        <w:jc w:val="center"/>
        <w:outlineLvl w:val="0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Normal"/>
        <w:numPr>
          <w:ilvl w:val="0"/>
          <w:numId w:val="0"/>
        </w:numPr>
        <w:ind w:left="0" w:firstLine="709"/>
        <w:jc w:val="center"/>
        <w:outlineLvl w:val="0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Normal"/>
        <w:numPr>
          <w:ilvl w:val="0"/>
          <w:numId w:val="0"/>
        </w:numPr>
        <w:ind w:left="0" w:firstLine="709"/>
        <w:jc w:val="center"/>
        <w:outlineLvl w:val="0"/>
        <w:rPr>
          <w:color w:val="000000"/>
        </w:rPr>
      </w:pPr>
      <w:r>
        <w:rPr>
          <w:color w:val="000000"/>
        </w:rPr>
      </w:r>
    </w:p>
    <w:p>
      <w:pPr>
        <w:pStyle w:val="Normal"/>
        <w:numPr>
          <w:ilvl w:val="0"/>
          <w:numId w:val="0"/>
        </w:numPr>
        <w:ind w:left="0" w:firstLine="709"/>
        <w:jc w:val="center"/>
        <w:outlineLvl w:val="0"/>
        <w:rPr>
          <w:color w:val="000000"/>
        </w:rPr>
      </w:pPr>
      <w:r>
        <w:rPr>
          <w:color w:val="000000"/>
        </w:rPr>
      </w:r>
    </w:p>
    <w:p>
      <w:pPr>
        <w:pStyle w:val="Normal"/>
        <w:numPr>
          <w:ilvl w:val="0"/>
          <w:numId w:val="0"/>
        </w:numPr>
        <w:ind w:left="0" w:firstLine="709"/>
        <w:jc w:val="center"/>
        <w:outlineLvl w:val="0"/>
        <w:rPr>
          <w:color w:val="000000"/>
        </w:rPr>
      </w:pPr>
      <w:r>
        <w:rPr>
          <w:color w:val="000000"/>
        </w:rPr>
      </w:r>
    </w:p>
    <w:p>
      <w:pPr>
        <w:pStyle w:val="Normal"/>
        <w:numPr>
          <w:ilvl w:val="0"/>
          <w:numId w:val="0"/>
        </w:numPr>
        <w:ind w:left="0" w:firstLine="709"/>
        <w:jc w:val="center"/>
        <w:outlineLvl w:val="0"/>
        <w:rPr>
          <w:color w:val="000000"/>
        </w:rPr>
      </w:pPr>
      <w:r>
        <w:rPr>
          <w:color w:val="000000"/>
        </w:rPr>
      </w:r>
    </w:p>
    <w:p>
      <w:pPr>
        <w:pStyle w:val="Normal"/>
        <w:numPr>
          <w:ilvl w:val="0"/>
          <w:numId w:val="0"/>
        </w:numPr>
        <w:ind w:left="0" w:firstLine="709"/>
        <w:jc w:val="center"/>
        <w:outlineLvl w:val="0"/>
        <w:rPr>
          <w:color w:val="000000"/>
        </w:rPr>
      </w:pPr>
      <w:r>
        <w:rPr>
          <w:color w:val="000000"/>
        </w:rPr>
      </w:r>
    </w:p>
    <w:p>
      <w:pPr>
        <w:pStyle w:val="Normal"/>
        <w:numPr>
          <w:ilvl w:val="0"/>
          <w:numId w:val="0"/>
        </w:numPr>
        <w:ind w:left="0" w:firstLine="709"/>
        <w:jc w:val="center"/>
        <w:outlineLvl w:val="0"/>
        <w:rPr>
          <w:color w:val="000000"/>
        </w:rPr>
      </w:pPr>
      <w:r>
        <w:rPr>
          <w:color w:val="000000"/>
        </w:rPr>
      </w:r>
    </w:p>
    <w:p>
      <w:pPr>
        <w:pStyle w:val="Normal"/>
        <w:numPr>
          <w:ilvl w:val="0"/>
          <w:numId w:val="0"/>
        </w:numPr>
        <w:ind w:left="0" w:firstLine="709"/>
        <w:jc w:val="center"/>
        <w:outlineLvl w:val="0"/>
        <w:rPr>
          <w:color w:val="000000"/>
        </w:rPr>
      </w:pPr>
      <w:r>
        <w:rPr>
          <w:color w:val="000000"/>
        </w:rPr>
      </w:r>
    </w:p>
    <w:sectPr>
      <w:headerReference w:type="default" r:id="rId53"/>
      <w:headerReference w:type="first" r:id="rId54"/>
      <w:footerReference w:type="default" r:id="rId55"/>
      <w:footerReference w:type="first" r:id="rId56"/>
      <w:type w:val="nextPage"/>
      <w:pgSz w:w="11906" w:h="16838"/>
      <w:pgMar w:left="1701" w:right="850" w:gutter="0" w:header="0" w:top="1134" w:footer="0" w:bottom="1134"/>
      <w:pgNumType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default"/>
  </w:font>
  <w:font w:name="Cambria">
    <w:charset w:val="01"/>
    <w:family w:val="roman"/>
    <w:pitch w:val="default"/>
  </w:font>
  <w:font w:name="Tahoma">
    <w:charset w:val="01"/>
    <w:family w:val="roman"/>
    <w:pitch w:val="default"/>
  </w:font>
  <w:font w:name="Arial">
    <w:charset w:val="01"/>
    <w:family w:val="roman"/>
    <w:pitch w:val="default"/>
  </w:font>
  <w:font w:name="PT Astra Serif">
    <w:charset w:val="01"/>
    <w:family w:val="roman"/>
    <w:pitch w:val="default"/>
  </w:font>
  <w:font w:name="Calibri"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0"/>
      <w:rPr>
        <w:i/>
        <w:i/>
        <w:sz w:val="16"/>
        <w:szCs w:val="16"/>
      </w:rPr>
    </w:pPr>
    <w:r>
      <w:rPr>
        <w:i/>
        <w:sz w:val="16"/>
        <w:szCs w:val="16"/>
      </w:rPr>
      <w:t xml:space="preserve"> </w:t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ftr>
</file>

<file path=word/footer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ftr>
</file>

<file path=word/footer1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ftr>
</file>

<file path=word/footer1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9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0</w:t>
    </w:r>
    <w:r>
      <w:rPr>
        <w:sz w:val="28"/>
        <w:szCs w:val="28"/>
      </w:rPr>
      <w:fldChar w:fldCharType="end"/>
    </w:r>
  </w:p>
</w:hdr>
</file>

<file path=word/header10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header1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header1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header1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header1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header1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header1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header1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18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header19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9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0</w:t>
    </w:r>
    <w:r>
      <w:rPr>
        <w:sz w:val="28"/>
        <w:szCs w:val="28"/>
      </w:rPr>
      <w:fldChar w:fldCharType="end"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8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header9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85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link w:val="11"/>
    <w:qFormat/>
    <w:pPr>
      <w:keepNext w:val="true"/>
      <w:keepLines/>
      <w:spacing w:before="240" w:after="0"/>
      <w:outlineLvl w:val="0"/>
    </w:pPr>
    <w:rPr>
      <w:rFonts w:ascii="Cambria" w:hAnsi="Cambria"/>
      <w:color w:val="365F91"/>
      <w:sz w:val="32"/>
      <w:szCs w:val="32"/>
    </w:rPr>
  </w:style>
  <w:style w:type="paragraph" w:styleId="2">
    <w:name w:val="Heading 2"/>
    <w:basedOn w:val="Style27"/>
    <w:next w:val="Style23"/>
    <w:qFormat/>
    <w:pPr>
      <w:numPr>
        <w:ilvl w:val="1"/>
        <w:numId w:val="1"/>
      </w:numPr>
      <w:spacing w:before="200" w:after="120"/>
      <w:outlineLvl w:val="1"/>
    </w:pPr>
    <w:rPr>
      <w:sz w:val="32"/>
      <w:szCs w:val="32"/>
    </w:rPr>
  </w:style>
  <w:style w:type="paragraph" w:styleId="3">
    <w:name w:val="Heading 3"/>
    <w:basedOn w:val="Normal"/>
    <w:next w:val="Normal"/>
    <w:link w:val="31"/>
    <w:qFormat/>
    <w:pPr>
      <w:keepNext w:val="true"/>
      <w:jc w:val="center"/>
      <w:outlineLvl w:val="2"/>
    </w:pPr>
    <w:rPr>
      <w:b/>
      <w:sz w:val="28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-">
    <w:name w:val="Hyperlink"/>
    <w:rPr>
      <w:color w:val="0000FF"/>
      <w:u w:val="single"/>
    </w:rPr>
  </w:style>
  <w:style w:type="character" w:styleId="31" w:customStyle="1">
    <w:name w:val="Заголовок 3 Знак"/>
    <w:qFormat/>
    <w:rPr>
      <w:b/>
      <w:sz w:val="28"/>
    </w:rPr>
  </w:style>
  <w:style w:type="character" w:styleId="Style11" w:customStyle="1">
    <w:name w:val="Основной текст_"/>
    <w:link w:val="14"/>
    <w:qFormat/>
    <w:rPr>
      <w:sz w:val="28"/>
      <w:szCs w:val="28"/>
      <w:shd w:fill="FFFFFF" w:val="clear"/>
    </w:rPr>
  </w:style>
  <w:style w:type="character" w:styleId="Style12" w:customStyle="1">
    <w:name w:val="Верхний колонтитул Знак"/>
    <w:qFormat/>
    <w:rPr>
      <w:sz w:val="24"/>
      <w:szCs w:val="24"/>
    </w:rPr>
  </w:style>
  <w:style w:type="character" w:styleId="Style13" w:customStyle="1">
    <w:name w:val="Основной текст Знак"/>
    <w:qFormat/>
    <w:rPr>
      <w:sz w:val="28"/>
    </w:rPr>
  </w:style>
  <w:style w:type="character" w:styleId="Style14" w:customStyle="1">
    <w:name w:val="Текст выноски Знак"/>
    <w:link w:val="BalloonText"/>
    <w:qFormat/>
    <w:rPr>
      <w:rFonts w:ascii="Tahoma" w:hAnsi="Tahoma" w:cs="Tahoma"/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Style15" w:customStyle="1">
    <w:name w:val="Текст Знак"/>
    <w:link w:val="PlainText"/>
    <w:qFormat/>
    <w:rPr>
      <w:sz w:val="24"/>
      <w:szCs w:val="24"/>
    </w:rPr>
  </w:style>
  <w:style w:type="character" w:styleId="Style16" w:customStyle="1">
    <w:name w:val="Нижний колонтитул Знак"/>
    <w:basedOn w:val="DefaultParagraphFont"/>
    <w:qFormat/>
    <w:rPr>
      <w:sz w:val="24"/>
      <w:szCs w:val="24"/>
    </w:rPr>
  </w:style>
  <w:style w:type="character" w:styleId="11" w:customStyle="1">
    <w:name w:val="Заголовок 1 Знак"/>
    <w:basedOn w:val="DefaultParagraphFont"/>
    <w:qFormat/>
    <w:rPr>
      <w:rFonts w:ascii="Cambria" w:hAnsi="Cambria" w:eastAsia="Times New Roman" w:cs="Times New Roman"/>
      <w:color w:val="365F91"/>
      <w:sz w:val="32"/>
      <w:szCs w:val="32"/>
    </w:rPr>
  </w:style>
  <w:style w:type="character" w:styleId="Spelle" w:customStyle="1">
    <w:name w:val="spelle"/>
    <w:basedOn w:val="DefaultParagraphFont"/>
    <w:qFormat/>
    <w:rPr/>
  </w:style>
  <w:style w:type="character" w:styleId="Grame" w:customStyle="1">
    <w:name w:val="grame"/>
    <w:basedOn w:val="DefaultParagraphFont"/>
    <w:qFormat/>
    <w:rPr/>
  </w:style>
  <w:style w:type="character" w:styleId="ConsPlusNormal" w:customStyle="1">
    <w:name w:val="ConsPlusNormal Знак"/>
    <w:link w:val="ConsPlusNormal1"/>
    <w:qFormat/>
    <w:rPr>
      <w:rFonts w:ascii="Arial" w:hAnsi="Arial" w:cs="Arial"/>
    </w:rPr>
  </w:style>
  <w:style w:type="character" w:styleId="Style17" w:customStyle="1">
    <w:name w:val="Заголовок Знак"/>
    <w:basedOn w:val="DefaultParagraphFont"/>
    <w:qFormat/>
    <w:rPr>
      <w:b/>
      <w:bCs/>
      <w:color w:val="000000"/>
      <w:sz w:val="24"/>
      <w:lang w:val="x-none" w:eastAsia="x-none"/>
    </w:rPr>
  </w:style>
  <w:style w:type="character" w:styleId="Annotationreference">
    <w:name w:val="annotation reference"/>
    <w:basedOn w:val="DefaultParagraphFont"/>
    <w:qFormat/>
    <w:rPr>
      <w:sz w:val="16"/>
      <w:szCs w:val="16"/>
    </w:rPr>
  </w:style>
  <w:style w:type="character" w:styleId="Style18" w:customStyle="1">
    <w:name w:val="Текст примечания Знак"/>
    <w:basedOn w:val="DefaultParagraphFont"/>
    <w:link w:val="Annotationtext"/>
    <w:qFormat/>
    <w:rPr/>
  </w:style>
  <w:style w:type="character" w:styleId="Style19" w:customStyle="1">
    <w:name w:val="Тема примечания Знак"/>
    <w:basedOn w:val="Style18"/>
    <w:link w:val="Annotationsubject"/>
    <w:qFormat/>
    <w:rPr>
      <w:b/>
      <w:bCs/>
    </w:rPr>
  </w:style>
  <w:style w:type="character" w:styleId="12" w:customStyle="1">
    <w:name w:val="Основной шрифт абзаца1"/>
    <w:qFormat/>
    <w:rPr/>
  </w:style>
  <w:style w:type="character" w:styleId="Exact" w:customStyle="1">
    <w:name w:val="Подпись к таблице Exact"/>
    <w:basedOn w:val="DefaultParagraphFont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8"/>
      <w:szCs w:val="28"/>
      <w:u w:val="none"/>
    </w:rPr>
  </w:style>
  <w:style w:type="character" w:styleId="Style20">
    <w:name w:val="FollowedHyperlink"/>
    <w:rPr>
      <w:color w:val="800000"/>
      <w:u w:val="single"/>
    </w:rPr>
  </w:style>
  <w:style w:type="character" w:styleId="Style21">
    <w:name w:val="Цветовое выделение для Нормальный"/>
    <w:qFormat/>
    <w:rPr/>
  </w:style>
  <w:style w:type="paragraph" w:styleId="Style22">
    <w:name w:val="Заголовок"/>
    <w:basedOn w:val="Normal"/>
    <w:next w:val="Style23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23">
    <w:name w:val="Body Text"/>
    <w:basedOn w:val="Normal"/>
    <w:link w:val="Style13"/>
    <w:pPr>
      <w:jc w:val="both"/>
    </w:pPr>
    <w:rPr>
      <w:sz w:val="28"/>
      <w:szCs w:val="20"/>
    </w:rPr>
  </w:style>
  <w:style w:type="paragraph" w:styleId="Style24">
    <w:name w:val="List"/>
    <w:basedOn w:val="Style23"/>
    <w:pPr/>
    <w:rPr>
      <w:rFonts w:ascii="PT Astra Serif" w:hAnsi="PT Astra Serif" w:cs="Noto Sans Devanagari"/>
    </w:rPr>
  </w:style>
  <w:style w:type="paragraph" w:styleId="Style25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7">
    <w:name w:val="Title"/>
    <w:basedOn w:val="Normal"/>
    <w:next w:val="Style23"/>
    <w:link w:val="Style17"/>
    <w:qFormat/>
    <w:pPr>
      <w:jc w:val="center"/>
    </w:pPr>
    <w:rPr>
      <w:b/>
      <w:bCs/>
      <w:color w:val="000000"/>
      <w:szCs w:val="20"/>
      <w:lang w:val="x-none" w:eastAsia="x-none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13" w:customStyle="1">
    <w:name w:val="Заголовок1"/>
    <w:basedOn w:val="Normal"/>
    <w:next w:val="Style23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ConsPlusNormal1" w:customStyle="1">
    <w:name w:val="ConsPlusNormal"/>
    <w:link w:val="ConsPlusNormal"/>
    <w:qFormat/>
    <w:pPr>
      <w:widowControl w:val="false"/>
      <w:suppressAutoHyphens w:val="true"/>
      <w:overflowPunct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Style28" w:customStyle="1">
    <w:name w:val="Колонтитул"/>
    <w:basedOn w:val="Normal"/>
    <w:qFormat/>
    <w:pPr/>
    <w:rPr/>
  </w:style>
  <w:style w:type="paragraph" w:styleId="Style29">
    <w:name w:val="Header"/>
    <w:basedOn w:val="Normal"/>
    <w:link w:val="Style12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0">
    <w:name w:val="Footer"/>
    <w:basedOn w:val="Normal"/>
    <w:link w:val="Style1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4" w:customStyle="1">
    <w:name w:val="Основной текст1"/>
    <w:basedOn w:val="Normal"/>
    <w:link w:val="Style11"/>
    <w:qFormat/>
    <w:pPr>
      <w:shd w:val="clear" w:color="auto" w:fill="FFFFFF"/>
      <w:spacing w:lineRule="exact" w:line="486" w:before="600" w:after="480"/>
      <w:jc w:val="both"/>
    </w:pPr>
    <w:rPr>
      <w:sz w:val="28"/>
      <w:szCs w:val="28"/>
    </w:rPr>
  </w:style>
  <w:style w:type="paragraph" w:styleId="ConsPlusCell" w:customStyle="1">
    <w:name w:val="ConsPlusCel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14"/>
    <w:qFormat/>
    <w:pPr/>
    <w:rPr>
      <w:rFonts w:ascii="Tahoma" w:hAnsi="Tahoma"/>
      <w:sz w:val="16"/>
      <w:szCs w:val="16"/>
    </w:rPr>
  </w:style>
  <w:style w:type="paragraph" w:styleId="ListParagraph">
    <w:name w:val="List Paragraph"/>
    <w:basedOn w:val="Normal"/>
    <w:qFormat/>
    <w:pPr>
      <w:spacing w:before="280" w:after="280"/>
    </w:pPr>
    <w:rPr/>
  </w:style>
  <w:style w:type="paragraph" w:styleId="Consplusnormal2" w:customStyle="1">
    <w:name w:val="consplusnormal"/>
    <w:basedOn w:val="Normal"/>
    <w:qFormat/>
    <w:pPr>
      <w:spacing w:before="280" w:after="280"/>
    </w:pPr>
    <w:rPr/>
  </w:style>
  <w:style w:type="paragraph" w:styleId="A0" w:customStyle="1">
    <w:name w:val="a0"/>
    <w:basedOn w:val="Normal"/>
    <w:qFormat/>
    <w:pPr>
      <w:spacing w:before="280" w:after="280"/>
    </w:pPr>
    <w:rPr/>
  </w:style>
  <w:style w:type="paragraph" w:styleId="4" w:customStyle="1">
    <w:name w:val="Знак Знак Знак Знак Знак Знак Знак4"/>
    <w:basedOn w:val="Normal"/>
    <w:qFormat/>
    <w:pPr>
      <w:spacing w:before="280" w:after="280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Conspluscell1" w:customStyle="1">
    <w:name w:val="conspluscell"/>
    <w:basedOn w:val="Normal"/>
    <w:qFormat/>
    <w:pPr>
      <w:spacing w:before="280" w:after="280"/>
    </w:pPr>
    <w:rPr/>
  </w:style>
  <w:style w:type="paragraph" w:styleId="PlainText">
    <w:name w:val="Plain Text"/>
    <w:basedOn w:val="Normal"/>
    <w:link w:val="Style15"/>
    <w:qFormat/>
    <w:pPr>
      <w:spacing w:before="280" w:after="280"/>
    </w:pPr>
    <w:rPr/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Annotationtext">
    <w:name w:val="annotation text"/>
    <w:basedOn w:val="Normal"/>
    <w:link w:val="Style18"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19"/>
    <w:qFormat/>
    <w:pPr/>
    <w:rPr>
      <w:b/>
      <w:bCs/>
    </w:rPr>
  </w:style>
  <w:style w:type="paragraph" w:styleId="Style31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2" w:customStyle="1">
    <w:name w:val="Заголовок таблицы"/>
    <w:basedOn w:val="Style31"/>
    <w:qFormat/>
    <w:pPr>
      <w:jc w:val="center"/>
    </w:pPr>
    <w:rPr>
      <w:b/>
      <w:bCs/>
    </w:rPr>
  </w:style>
  <w:style w:type="paragraph" w:styleId="41" w:customStyle="1">
    <w:name w:val="Основной текст (4)"/>
    <w:basedOn w:val="Normal"/>
    <w:qFormat/>
    <w:pPr>
      <w:shd w:val="clear" w:color="auto" w:fill="FFFFFF"/>
      <w:spacing w:lineRule="atLeast" w:line="0" w:before="60" w:after="200"/>
      <w:jc w:val="center"/>
    </w:pPr>
    <w:rPr>
      <w:spacing w:val="-10"/>
      <w:sz w:val="28"/>
      <w:szCs w:val="28"/>
      <w:lang w:eastAsia="en-US"/>
    </w:rPr>
  </w:style>
  <w:style w:type="paragraph" w:styleId="ConsPlusTitle" w:customStyle="1">
    <w:name w:val="ConsPlusTitle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Calibri" w:hAnsi="Calibri" w:eastAsia="Times New Roman" w:cs="Calibri"/>
      <w:b/>
      <w:color w:val="auto"/>
      <w:kern w:val="0"/>
      <w:sz w:val="20"/>
      <w:szCs w:val="20"/>
      <w:lang w:val="ru-RU" w:eastAsia="ru-RU" w:bidi="ar-SA"/>
    </w:rPr>
  </w:style>
  <w:style w:type="paragraph" w:styleId="6" w:customStyle="1">
    <w:name w:val="Основной текст (6)"/>
    <w:basedOn w:val="Normal"/>
    <w:qFormat/>
    <w:pPr>
      <w:shd w:val="clear" w:color="auto" w:fill="FFFFFF"/>
      <w:spacing w:lineRule="exact" w:line="322"/>
      <w:jc w:val="center"/>
    </w:pPr>
    <w:rPr>
      <w:b/>
      <w:bCs/>
      <w:sz w:val="28"/>
      <w:szCs w:val="28"/>
      <w:lang w:eastAsia="en-US"/>
    </w:rPr>
  </w:style>
  <w:style w:type="paragraph" w:styleId="311">
    <w:name w:val="Основной текст 31"/>
    <w:basedOn w:val="Normal"/>
    <w:qFormat/>
    <w:pPr>
      <w:jc w:val="center"/>
    </w:pPr>
    <w:rPr>
      <w:b/>
      <w:bCs/>
      <w:sz w:val="28"/>
    </w:rPr>
  </w:style>
  <w:style w:type="paragraph" w:styleId="TableParagraph">
    <w:name w:val="Table Paragraph"/>
    <w:basedOn w:val="Normal"/>
    <w:qFormat/>
    <w:pPr>
      <w:widowControl w:val="false"/>
      <w:suppressAutoHyphens w:val="true"/>
    </w:pPr>
    <w:rPr>
      <w:lang w:eastAsia="zh-CN"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 w:asciiTheme="minorHAnsi" w:hAnsiTheme="minorHAnsi"/>
      <w:color w:val="000000"/>
      <w:kern w:val="0"/>
      <w:sz w:val="22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3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anzhero.ru/" TargetMode="Externa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footer" Target="footer2.xml"/><Relationship Id="rId9" Type="http://schemas.openxmlformats.org/officeDocument/2006/relationships/footer" Target="footer3.xml"/><Relationship Id="rId10" Type="http://schemas.openxmlformats.org/officeDocument/2006/relationships/header" Target="header4.xml"/><Relationship Id="rId11" Type="http://schemas.openxmlformats.org/officeDocument/2006/relationships/header" Target="header5.xml"/><Relationship Id="rId12" Type="http://schemas.openxmlformats.org/officeDocument/2006/relationships/footer" Target="footer4.xml"/><Relationship Id="rId13" Type="http://schemas.openxmlformats.org/officeDocument/2006/relationships/footer" Target="footer5.xml"/><Relationship Id="rId14" Type="http://schemas.openxmlformats.org/officeDocument/2006/relationships/hyperlink" Target="https://login.consultant.ru/link/?req=doc&amp;base=LAW&amp;n=441135" TargetMode="External"/><Relationship Id="rId15" Type="http://schemas.openxmlformats.org/officeDocument/2006/relationships/hyperlink" Target="https://login.consultant.ru/link/?req=doc&amp;base=LAW&amp;n=470713" TargetMode="External"/><Relationship Id="rId16" Type="http://schemas.openxmlformats.org/officeDocument/2006/relationships/hyperlink" Target="https://login.consultant.ru/link/?req=doc&amp;base=LAW&amp;n=470713" TargetMode="External"/><Relationship Id="rId17" Type="http://schemas.openxmlformats.org/officeDocument/2006/relationships/hyperlink" Target="https://login.consultant.ru/link/?req=doc&amp;base=LAW&amp;n=441135" TargetMode="External"/><Relationship Id="rId18" Type="http://schemas.openxmlformats.org/officeDocument/2006/relationships/header" Target="header6.xml"/><Relationship Id="rId19" Type="http://schemas.openxmlformats.org/officeDocument/2006/relationships/header" Target="header7.xml"/><Relationship Id="rId20" Type="http://schemas.openxmlformats.org/officeDocument/2006/relationships/footer" Target="footer6.xml"/><Relationship Id="rId21" Type="http://schemas.openxmlformats.org/officeDocument/2006/relationships/footer" Target="footer7.xml"/><Relationship Id="rId22" Type="http://schemas.openxmlformats.org/officeDocument/2006/relationships/header" Target="header8.xml"/><Relationship Id="rId23" Type="http://schemas.openxmlformats.org/officeDocument/2006/relationships/header" Target="header9.xml"/><Relationship Id="rId24" Type="http://schemas.openxmlformats.org/officeDocument/2006/relationships/footer" Target="footer8.xml"/><Relationship Id="rId25" Type="http://schemas.openxmlformats.org/officeDocument/2006/relationships/footer" Target="footer9.xml"/><Relationship Id="rId26" Type="http://schemas.openxmlformats.org/officeDocument/2006/relationships/header" Target="header10.xml"/><Relationship Id="rId27" Type="http://schemas.openxmlformats.org/officeDocument/2006/relationships/header" Target="header11.xml"/><Relationship Id="rId28" Type="http://schemas.openxmlformats.org/officeDocument/2006/relationships/footer" Target="footer10.xml"/><Relationship Id="rId29" Type="http://schemas.openxmlformats.org/officeDocument/2006/relationships/footer" Target="footer11.xml"/><Relationship Id="rId30" Type="http://schemas.openxmlformats.org/officeDocument/2006/relationships/hyperlink" Target="https://login.consultant.ru/link/?req=doc&amp;base=LAW&amp;n=441135" TargetMode="External"/><Relationship Id="rId31" Type="http://schemas.openxmlformats.org/officeDocument/2006/relationships/hyperlink" Target="https://login.consultant.ru/link/?req=doc&amp;base=LAW&amp;n=441135" TargetMode="External"/><Relationship Id="rId32" Type="http://schemas.openxmlformats.org/officeDocument/2006/relationships/hyperlink" Target="https://login.consultant.ru/link/?req=doc&amp;base=LAW&amp;n=441135" TargetMode="External"/><Relationship Id="rId33" Type="http://schemas.openxmlformats.org/officeDocument/2006/relationships/hyperlink" Target="https://login.consultant.ru/link/?req=doc&amp;base=LAW&amp;n=470713" TargetMode="External"/><Relationship Id="rId34" Type="http://schemas.openxmlformats.org/officeDocument/2006/relationships/hyperlink" Target="https://login.consultant.ru/link/?req=doc&amp;base=LAW&amp;n=195196&amp;dst=106106&amp;demo=1" TargetMode="External"/><Relationship Id="rId35" Type="http://schemas.openxmlformats.org/officeDocument/2006/relationships/hyperlink" Target="https://login.consultant.ru/link/?req=doc&amp;base=LAW&amp;n=195196&amp;dst=106106&amp;demo=1" TargetMode="External"/><Relationship Id="rId36" Type="http://schemas.openxmlformats.org/officeDocument/2006/relationships/header" Target="header12.xml"/><Relationship Id="rId37" Type="http://schemas.openxmlformats.org/officeDocument/2006/relationships/header" Target="header13.xml"/><Relationship Id="rId38" Type="http://schemas.openxmlformats.org/officeDocument/2006/relationships/footer" Target="footer12.xml"/><Relationship Id="rId39" Type="http://schemas.openxmlformats.org/officeDocument/2006/relationships/footer" Target="footer13.xml"/><Relationship Id="rId40" Type="http://schemas.openxmlformats.org/officeDocument/2006/relationships/hyperlink" Target="https://login.consultant.ru/link/?req=doc&amp;base=LAW&amp;n=195196&amp;dst=106106&amp;demo=1" TargetMode="External"/><Relationship Id="rId41" Type="http://schemas.openxmlformats.org/officeDocument/2006/relationships/hyperlink" Target="https://login.consultant.ru/link/?req=doc&amp;base=LAW&amp;n=195196&amp;dst=106106&amp;demo=1" TargetMode="External"/><Relationship Id="rId42" Type="http://schemas.openxmlformats.org/officeDocument/2006/relationships/header" Target="header14.xml"/><Relationship Id="rId43" Type="http://schemas.openxmlformats.org/officeDocument/2006/relationships/header" Target="header15.xml"/><Relationship Id="rId44" Type="http://schemas.openxmlformats.org/officeDocument/2006/relationships/footer" Target="footer14.xml"/><Relationship Id="rId45" Type="http://schemas.openxmlformats.org/officeDocument/2006/relationships/footer" Target="footer15.xml"/><Relationship Id="rId46" Type="http://schemas.openxmlformats.org/officeDocument/2006/relationships/hyperlink" Target="https://login.consultant.ru/link/?req=doc&amp;base=LAW&amp;n=441135" TargetMode="External"/><Relationship Id="rId47" Type="http://schemas.openxmlformats.org/officeDocument/2006/relationships/hyperlink" Target="https://login.consultant.ru/link/?req=doc&amp;base=LAW&amp;n=441135" TargetMode="External"/><Relationship Id="rId48" Type="http://schemas.openxmlformats.org/officeDocument/2006/relationships/hyperlink" Target="https://login.consultant.ru/link/?req=doc&amp;base=LAW&amp;n=441135" TargetMode="External"/><Relationship Id="rId49" Type="http://schemas.openxmlformats.org/officeDocument/2006/relationships/header" Target="header16.xml"/><Relationship Id="rId50" Type="http://schemas.openxmlformats.org/officeDocument/2006/relationships/header" Target="header17.xml"/><Relationship Id="rId51" Type="http://schemas.openxmlformats.org/officeDocument/2006/relationships/footer" Target="footer16.xml"/><Relationship Id="rId52" Type="http://schemas.openxmlformats.org/officeDocument/2006/relationships/footer" Target="footer17.xml"/><Relationship Id="rId53" Type="http://schemas.openxmlformats.org/officeDocument/2006/relationships/header" Target="header18.xml"/><Relationship Id="rId54" Type="http://schemas.openxmlformats.org/officeDocument/2006/relationships/header" Target="header19.xml"/><Relationship Id="rId55" Type="http://schemas.openxmlformats.org/officeDocument/2006/relationships/footer" Target="footer18.xml"/><Relationship Id="rId56" Type="http://schemas.openxmlformats.org/officeDocument/2006/relationships/footer" Target="footer19.xml"/><Relationship Id="rId57" Type="http://schemas.openxmlformats.org/officeDocument/2006/relationships/numbering" Target="numbering.xml"/><Relationship Id="rId58" Type="http://schemas.openxmlformats.org/officeDocument/2006/relationships/fontTable" Target="fontTable.xml"/><Relationship Id="rId59" Type="http://schemas.openxmlformats.org/officeDocument/2006/relationships/settings" Target="settings.xml"/><Relationship Id="rId6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3812</TotalTime>
  <Application>LibreOffice/7.5.6.2$Linux_X86_64 LibreOffice_project/50$Build-2</Application>
  <AppVersion>15.0000</AppVersion>
  <Pages>69</Pages>
  <Words>12303</Words>
  <Characters>94961</Characters>
  <CharactersWithSpaces>106385</CharactersWithSpaces>
  <Paragraphs>1457</Paragraphs>
  <Company>***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2022-08-18T04:22:00Z</dcterms:created>
  <dc:creator>*</dc:creator>
  <dc:description/>
  <dc:language>ru-RU</dc:language>
  <cp:lastModifiedBy/>
  <cp:lastPrinted>2025-07-29T09:58:51Z</cp:lastPrinted>
  <dcterms:modified xsi:type="dcterms:W3CDTF">2025-08-14T16:42:35Z</dcterms:modified>
  <cp:revision>673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